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2518"/>
        <w:gridCol w:w="6126"/>
      </w:tblGrid>
      <w:tr w:rsidR="00B13A12" w:rsidRPr="003B68BF" w:rsidTr="005E59BB">
        <w:tc>
          <w:tcPr>
            <w:tcW w:w="2518" w:type="dxa"/>
          </w:tcPr>
          <w:p w:rsidR="00B13A12" w:rsidRDefault="00B13A12" w:rsidP="005E59BB"/>
        </w:tc>
        <w:tc>
          <w:tcPr>
            <w:tcW w:w="6126" w:type="dxa"/>
            <w:vAlign w:val="center"/>
          </w:tcPr>
          <w:p w:rsidR="00B13A12" w:rsidRDefault="00B13A12" w:rsidP="005E59BB">
            <w:pPr>
              <w:jc w:val="right"/>
              <w:rPr>
                <w:b/>
                <w:sz w:val="40"/>
              </w:rPr>
            </w:pPr>
          </w:p>
          <w:p w:rsidR="00B13A12" w:rsidRDefault="00B13A12" w:rsidP="005E59BB">
            <w:pPr>
              <w:jc w:val="right"/>
              <w:rPr>
                <w:b/>
                <w:sz w:val="40"/>
              </w:rPr>
            </w:pPr>
          </w:p>
          <w:p w:rsidR="00B13A12" w:rsidRDefault="00B13A12" w:rsidP="005E59BB">
            <w:pPr>
              <w:jc w:val="right"/>
              <w:rPr>
                <w:b/>
                <w:sz w:val="40"/>
              </w:rPr>
            </w:pPr>
          </w:p>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24"/>
                <w:szCs w:val="24"/>
              </w:rPr>
            </w:pPr>
          </w:p>
          <w:p w:rsidR="00B13A12" w:rsidRPr="003B68BF" w:rsidRDefault="00B13A12" w:rsidP="005E59BB">
            <w:pPr>
              <w:jc w:val="right"/>
              <w:rPr>
                <w:b/>
                <w:sz w:val="40"/>
                <w:szCs w:val="40"/>
              </w:rPr>
            </w:pPr>
            <w:r w:rsidRPr="003B68BF">
              <w:rPr>
                <w:b/>
                <w:sz w:val="40"/>
                <w:szCs w:val="40"/>
              </w:rPr>
              <w:t>CONJUNTO HABITACIONAL PEQUIÁ</w:t>
            </w:r>
          </w:p>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Pr="003B68BF" w:rsidRDefault="00B13A12" w:rsidP="005E59BB">
            <w:pPr>
              <w:ind w:firstLine="459"/>
              <w:rPr>
                <w:b/>
                <w:sz w:val="36"/>
                <w:szCs w:val="36"/>
              </w:rPr>
            </w:pPr>
            <w:r w:rsidRPr="003B68BF">
              <w:rPr>
                <w:b/>
                <w:sz w:val="36"/>
                <w:szCs w:val="36"/>
              </w:rPr>
              <w:t xml:space="preserve">MEMORIAL DESCRITIVO </w:t>
            </w:r>
          </w:p>
          <w:p w:rsidR="00B13A12" w:rsidRDefault="00CA7E68" w:rsidP="005E59BB">
            <w:pPr>
              <w:ind w:firstLine="459"/>
            </w:pPr>
            <w:r>
              <w:rPr>
                <w:b/>
                <w:sz w:val="36"/>
                <w:szCs w:val="36"/>
              </w:rPr>
              <w:t>REDE DE COMBATE A INCÊNDIO</w:t>
            </w:r>
          </w:p>
        </w:tc>
      </w:tr>
      <w:tr w:rsidR="00B13A12" w:rsidTr="005E59BB">
        <w:tc>
          <w:tcPr>
            <w:tcW w:w="2518" w:type="dxa"/>
            <w:tcBorders>
              <w:righ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tc>
        <w:tc>
          <w:tcPr>
            <w:tcW w:w="6126" w:type="dxa"/>
            <w:tcBorders>
              <w:left w:val="single" w:sz="4" w:space="0" w:color="auto"/>
            </w:tcBorders>
          </w:tcPr>
          <w:p w:rsidR="00B13A12" w:rsidRDefault="00B13A12" w:rsidP="005E59BB"/>
          <w:p w:rsidR="00B13A12" w:rsidRDefault="00B13A12" w:rsidP="005E59BB"/>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Default="00B13A12" w:rsidP="005E59BB">
            <w:pPr>
              <w:jc w:val="right"/>
            </w:pPr>
            <w:r>
              <w:t>VERSÃO</w:t>
            </w:r>
            <w:r w:rsidRPr="003B68BF">
              <w:rPr>
                <w:b/>
                <w:sz w:val="96"/>
              </w:rPr>
              <w:t xml:space="preserve"> A</w:t>
            </w:r>
          </w:p>
        </w:tc>
      </w:tr>
    </w:tbl>
    <w:p w:rsidR="00B13A12" w:rsidRDefault="00B13A12" w:rsidP="00B13A12"/>
    <w:sdt>
      <w:sdtPr>
        <w:rPr>
          <w:rFonts w:ascii="Arial" w:eastAsiaTheme="minorHAnsi" w:hAnsi="Arial" w:cs="Arial"/>
          <w:b w:val="0"/>
          <w:bCs w:val="0"/>
          <w:color w:val="auto"/>
          <w:sz w:val="22"/>
          <w:szCs w:val="22"/>
          <w:lang w:eastAsia="en-US"/>
        </w:rPr>
        <w:id w:val="1182322415"/>
        <w:docPartObj>
          <w:docPartGallery w:val="Table of Contents"/>
          <w:docPartUnique/>
        </w:docPartObj>
      </w:sdtPr>
      <w:sdtEndPr/>
      <w:sdtContent>
        <w:p w:rsidR="00B13A12" w:rsidRDefault="00B13A12" w:rsidP="00B13A12">
          <w:pPr>
            <w:pStyle w:val="CabealhodoSumrio"/>
            <w:jc w:val="center"/>
            <w:rPr>
              <w:rFonts w:ascii="Arial" w:hAnsi="Arial" w:cs="Arial"/>
              <w:color w:val="auto"/>
              <w:sz w:val="32"/>
            </w:rPr>
          </w:pPr>
          <w:r w:rsidRPr="003B68BF">
            <w:rPr>
              <w:rFonts w:ascii="Arial" w:hAnsi="Arial" w:cs="Arial"/>
              <w:color w:val="auto"/>
              <w:sz w:val="32"/>
            </w:rPr>
            <w:t>Índice Geral</w:t>
          </w:r>
        </w:p>
        <w:p w:rsidR="00536F5C" w:rsidRPr="00536F5C" w:rsidRDefault="00536F5C" w:rsidP="00536F5C">
          <w:pPr>
            <w:rPr>
              <w:lang w:eastAsia="pt-BR"/>
            </w:rPr>
          </w:pPr>
        </w:p>
        <w:p w:rsidR="00CA7E68" w:rsidRDefault="00B13A12">
          <w:pPr>
            <w:pStyle w:val="Sumrio1"/>
            <w:tabs>
              <w:tab w:val="left" w:pos="440"/>
              <w:tab w:val="right" w:leader="dot" w:pos="8779"/>
            </w:tabs>
            <w:rPr>
              <w:rFonts w:eastAsiaTheme="minorEastAsia"/>
              <w:noProof/>
              <w:lang w:eastAsia="pt-BR"/>
            </w:rPr>
          </w:pPr>
          <w:r w:rsidRPr="003B68BF">
            <w:rPr>
              <w:rFonts w:ascii="Arial" w:hAnsi="Arial" w:cs="Arial"/>
            </w:rPr>
            <w:fldChar w:fldCharType="begin"/>
          </w:r>
          <w:r w:rsidRPr="003B68BF">
            <w:rPr>
              <w:rFonts w:ascii="Arial" w:hAnsi="Arial" w:cs="Arial"/>
            </w:rPr>
            <w:instrText xml:space="preserve"> TOC \o "1-3" \h \z \u </w:instrText>
          </w:r>
          <w:r w:rsidRPr="003B68BF">
            <w:rPr>
              <w:rFonts w:ascii="Arial" w:hAnsi="Arial" w:cs="Arial"/>
            </w:rPr>
            <w:fldChar w:fldCharType="separate"/>
          </w:r>
          <w:hyperlink w:anchor="_Toc117608126" w:history="1">
            <w:r w:rsidR="00CA7E68" w:rsidRPr="00DC2634">
              <w:rPr>
                <w:rStyle w:val="Hyperlink"/>
                <w:rFonts w:ascii="Arial" w:hAnsi="Arial" w:cs="Arial"/>
                <w:b/>
                <w:noProof/>
              </w:rPr>
              <w:t>1.</w:t>
            </w:r>
            <w:r w:rsidR="00CA7E68">
              <w:rPr>
                <w:rFonts w:eastAsiaTheme="minorEastAsia"/>
                <w:noProof/>
                <w:lang w:eastAsia="pt-BR"/>
              </w:rPr>
              <w:tab/>
            </w:r>
            <w:r w:rsidR="00CA7E68" w:rsidRPr="00DC2634">
              <w:rPr>
                <w:rStyle w:val="Hyperlink"/>
                <w:rFonts w:ascii="Arial" w:hAnsi="Arial" w:cs="Arial"/>
                <w:b/>
                <w:noProof/>
              </w:rPr>
              <w:t>APRESENTAÇÃO</w:t>
            </w:r>
            <w:r w:rsidR="00CA7E68">
              <w:rPr>
                <w:noProof/>
                <w:webHidden/>
              </w:rPr>
              <w:tab/>
            </w:r>
            <w:r w:rsidR="00CA7E68">
              <w:rPr>
                <w:noProof/>
                <w:webHidden/>
              </w:rPr>
              <w:fldChar w:fldCharType="begin"/>
            </w:r>
            <w:r w:rsidR="00CA7E68">
              <w:rPr>
                <w:noProof/>
                <w:webHidden/>
              </w:rPr>
              <w:instrText xml:space="preserve"> PAGEREF _Toc117608126 \h </w:instrText>
            </w:r>
            <w:r w:rsidR="00CA7E68">
              <w:rPr>
                <w:noProof/>
                <w:webHidden/>
              </w:rPr>
            </w:r>
            <w:r w:rsidR="00CA7E68">
              <w:rPr>
                <w:noProof/>
                <w:webHidden/>
              </w:rPr>
              <w:fldChar w:fldCharType="separate"/>
            </w:r>
            <w:r w:rsidR="00536F5C">
              <w:rPr>
                <w:noProof/>
                <w:webHidden/>
              </w:rPr>
              <w:t>3</w:t>
            </w:r>
            <w:r w:rsidR="00CA7E68">
              <w:rPr>
                <w:noProof/>
                <w:webHidden/>
              </w:rPr>
              <w:fldChar w:fldCharType="end"/>
            </w:r>
          </w:hyperlink>
        </w:p>
        <w:p w:rsidR="00CA7E68" w:rsidRDefault="00616E65">
          <w:pPr>
            <w:pStyle w:val="Sumrio1"/>
            <w:tabs>
              <w:tab w:val="left" w:pos="440"/>
              <w:tab w:val="right" w:leader="dot" w:pos="8779"/>
            </w:tabs>
            <w:rPr>
              <w:rFonts w:eastAsiaTheme="minorEastAsia"/>
              <w:noProof/>
              <w:lang w:eastAsia="pt-BR"/>
            </w:rPr>
          </w:pPr>
          <w:hyperlink w:anchor="_Toc117608127" w:history="1">
            <w:r w:rsidR="00CA7E68" w:rsidRPr="00DC2634">
              <w:rPr>
                <w:rStyle w:val="Hyperlink"/>
                <w:rFonts w:ascii="Arial" w:hAnsi="Arial" w:cs="Arial"/>
                <w:b/>
                <w:noProof/>
              </w:rPr>
              <w:t>2.</w:t>
            </w:r>
            <w:r w:rsidR="00CA7E68">
              <w:rPr>
                <w:rFonts w:eastAsiaTheme="minorEastAsia"/>
                <w:noProof/>
                <w:lang w:eastAsia="pt-BR"/>
              </w:rPr>
              <w:tab/>
            </w:r>
            <w:r w:rsidR="00CA7E68" w:rsidRPr="00DC2634">
              <w:rPr>
                <w:rStyle w:val="Hyperlink"/>
                <w:rFonts w:ascii="Arial" w:hAnsi="Arial" w:cs="Arial"/>
                <w:b/>
                <w:noProof/>
              </w:rPr>
              <w:t>NORMAS UTILIZADAS</w:t>
            </w:r>
            <w:r w:rsidR="00CA7E68">
              <w:rPr>
                <w:noProof/>
                <w:webHidden/>
              </w:rPr>
              <w:tab/>
            </w:r>
            <w:r w:rsidR="00CA7E68">
              <w:rPr>
                <w:noProof/>
                <w:webHidden/>
              </w:rPr>
              <w:fldChar w:fldCharType="begin"/>
            </w:r>
            <w:r w:rsidR="00CA7E68">
              <w:rPr>
                <w:noProof/>
                <w:webHidden/>
              </w:rPr>
              <w:instrText xml:space="preserve"> PAGEREF _Toc117608127 \h </w:instrText>
            </w:r>
            <w:r w:rsidR="00CA7E68">
              <w:rPr>
                <w:noProof/>
                <w:webHidden/>
              </w:rPr>
            </w:r>
            <w:r w:rsidR="00CA7E68">
              <w:rPr>
                <w:noProof/>
                <w:webHidden/>
              </w:rPr>
              <w:fldChar w:fldCharType="separate"/>
            </w:r>
            <w:r w:rsidR="00536F5C">
              <w:rPr>
                <w:noProof/>
                <w:webHidden/>
              </w:rPr>
              <w:t>3</w:t>
            </w:r>
            <w:r w:rsidR="00CA7E68">
              <w:rPr>
                <w:noProof/>
                <w:webHidden/>
              </w:rPr>
              <w:fldChar w:fldCharType="end"/>
            </w:r>
          </w:hyperlink>
        </w:p>
        <w:p w:rsidR="00CA7E68" w:rsidRDefault="00616E65">
          <w:pPr>
            <w:pStyle w:val="Sumrio1"/>
            <w:tabs>
              <w:tab w:val="left" w:pos="440"/>
              <w:tab w:val="right" w:leader="dot" w:pos="8779"/>
            </w:tabs>
            <w:rPr>
              <w:rFonts w:eastAsiaTheme="minorEastAsia"/>
              <w:noProof/>
              <w:lang w:eastAsia="pt-BR"/>
            </w:rPr>
          </w:pPr>
          <w:hyperlink w:anchor="_Toc117608128" w:history="1">
            <w:r w:rsidR="00CA7E68" w:rsidRPr="00DC2634">
              <w:rPr>
                <w:rStyle w:val="Hyperlink"/>
                <w:rFonts w:ascii="Arial" w:hAnsi="Arial" w:cs="Arial"/>
                <w:b/>
                <w:noProof/>
              </w:rPr>
              <w:t>3.</w:t>
            </w:r>
            <w:r w:rsidR="00CA7E68">
              <w:rPr>
                <w:rFonts w:eastAsiaTheme="minorEastAsia"/>
                <w:noProof/>
                <w:lang w:eastAsia="pt-BR"/>
              </w:rPr>
              <w:tab/>
            </w:r>
            <w:r w:rsidR="00CA7E68" w:rsidRPr="00DC2634">
              <w:rPr>
                <w:rStyle w:val="Hyperlink"/>
                <w:rFonts w:ascii="Arial" w:hAnsi="Arial" w:cs="Arial"/>
                <w:b/>
                <w:noProof/>
              </w:rPr>
              <w:t>CLASSIFICAÇÃO DA EDIFICAÇÃO</w:t>
            </w:r>
            <w:r w:rsidR="00CA7E68">
              <w:rPr>
                <w:noProof/>
                <w:webHidden/>
              </w:rPr>
              <w:tab/>
            </w:r>
            <w:r w:rsidR="00CA7E68">
              <w:rPr>
                <w:noProof/>
                <w:webHidden/>
              </w:rPr>
              <w:fldChar w:fldCharType="begin"/>
            </w:r>
            <w:r w:rsidR="00CA7E68">
              <w:rPr>
                <w:noProof/>
                <w:webHidden/>
              </w:rPr>
              <w:instrText xml:space="preserve"> PAGEREF _Toc117608128 \h </w:instrText>
            </w:r>
            <w:r w:rsidR="00CA7E68">
              <w:rPr>
                <w:noProof/>
                <w:webHidden/>
              </w:rPr>
            </w:r>
            <w:r w:rsidR="00CA7E68">
              <w:rPr>
                <w:noProof/>
                <w:webHidden/>
              </w:rPr>
              <w:fldChar w:fldCharType="separate"/>
            </w:r>
            <w:r w:rsidR="00536F5C">
              <w:rPr>
                <w:noProof/>
                <w:webHidden/>
              </w:rPr>
              <w:t>3</w:t>
            </w:r>
            <w:r w:rsidR="00CA7E68">
              <w:rPr>
                <w:noProof/>
                <w:webHidden/>
              </w:rPr>
              <w:fldChar w:fldCharType="end"/>
            </w:r>
          </w:hyperlink>
        </w:p>
        <w:p w:rsidR="00CA7E68" w:rsidRDefault="00616E65">
          <w:pPr>
            <w:pStyle w:val="Sumrio1"/>
            <w:tabs>
              <w:tab w:val="left" w:pos="440"/>
              <w:tab w:val="right" w:leader="dot" w:pos="8779"/>
            </w:tabs>
            <w:rPr>
              <w:rFonts w:eastAsiaTheme="minorEastAsia"/>
              <w:noProof/>
              <w:lang w:eastAsia="pt-BR"/>
            </w:rPr>
          </w:pPr>
          <w:hyperlink w:anchor="_Toc117608129" w:history="1">
            <w:r w:rsidR="00CA7E68" w:rsidRPr="00DC2634">
              <w:rPr>
                <w:rStyle w:val="Hyperlink"/>
                <w:rFonts w:ascii="Arial" w:hAnsi="Arial" w:cs="Arial"/>
                <w:b/>
                <w:noProof/>
              </w:rPr>
              <w:t>4.</w:t>
            </w:r>
            <w:r w:rsidR="00CA7E68">
              <w:rPr>
                <w:rFonts w:eastAsiaTheme="minorEastAsia"/>
                <w:noProof/>
                <w:lang w:eastAsia="pt-BR"/>
              </w:rPr>
              <w:tab/>
            </w:r>
            <w:r w:rsidR="00CA7E68" w:rsidRPr="00DC2634">
              <w:rPr>
                <w:rStyle w:val="Hyperlink"/>
                <w:rFonts w:ascii="Arial" w:hAnsi="Arial" w:cs="Arial"/>
                <w:b/>
                <w:noProof/>
              </w:rPr>
              <w:t>ESPECIFICAÇÃO DE MATERIAIS</w:t>
            </w:r>
            <w:r w:rsidR="00CA7E68">
              <w:rPr>
                <w:noProof/>
                <w:webHidden/>
              </w:rPr>
              <w:tab/>
            </w:r>
            <w:r w:rsidR="00CA7E68">
              <w:rPr>
                <w:noProof/>
                <w:webHidden/>
              </w:rPr>
              <w:fldChar w:fldCharType="begin"/>
            </w:r>
            <w:r w:rsidR="00CA7E68">
              <w:rPr>
                <w:noProof/>
                <w:webHidden/>
              </w:rPr>
              <w:instrText xml:space="preserve"> PAGEREF _Toc117608129 \h </w:instrText>
            </w:r>
            <w:r w:rsidR="00CA7E68">
              <w:rPr>
                <w:noProof/>
                <w:webHidden/>
              </w:rPr>
            </w:r>
            <w:r w:rsidR="00CA7E68">
              <w:rPr>
                <w:noProof/>
                <w:webHidden/>
              </w:rPr>
              <w:fldChar w:fldCharType="separate"/>
            </w:r>
            <w:r w:rsidR="00536F5C">
              <w:rPr>
                <w:noProof/>
                <w:webHidden/>
              </w:rPr>
              <w:t>3</w:t>
            </w:r>
            <w:r w:rsidR="00CA7E68">
              <w:rPr>
                <w:noProof/>
                <w:webHidden/>
              </w:rPr>
              <w:fldChar w:fldCharType="end"/>
            </w:r>
          </w:hyperlink>
        </w:p>
        <w:p w:rsidR="00CA7E68" w:rsidRDefault="00616E65">
          <w:pPr>
            <w:pStyle w:val="Sumrio2"/>
            <w:tabs>
              <w:tab w:val="left" w:pos="880"/>
              <w:tab w:val="right" w:leader="dot" w:pos="8779"/>
            </w:tabs>
            <w:rPr>
              <w:rFonts w:eastAsiaTheme="minorEastAsia"/>
              <w:noProof/>
              <w:lang w:eastAsia="pt-BR"/>
            </w:rPr>
          </w:pPr>
          <w:hyperlink w:anchor="_Toc117608130" w:history="1">
            <w:r w:rsidR="00CA7E68" w:rsidRPr="00DC2634">
              <w:rPr>
                <w:rStyle w:val="Hyperlink"/>
                <w:rFonts w:ascii="Arial" w:hAnsi="Arial" w:cs="Arial"/>
                <w:b/>
                <w:noProof/>
              </w:rPr>
              <w:t>4.1.</w:t>
            </w:r>
            <w:r w:rsidR="00CA7E68">
              <w:rPr>
                <w:rFonts w:eastAsiaTheme="minorEastAsia"/>
                <w:noProof/>
                <w:lang w:eastAsia="pt-BR"/>
              </w:rPr>
              <w:tab/>
            </w:r>
            <w:r w:rsidR="00CA7E68" w:rsidRPr="00DC2634">
              <w:rPr>
                <w:rStyle w:val="Hyperlink"/>
                <w:rFonts w:ascii="Arial" w:hAnsi="Arial" w:cs="Arial"/>
                <w:b/>
                <w:noProof/>
              </w:rPr>
              <w:t>Sistema de detecção e alarme de incêndio</w:t>
            </w:r>
            <w:r w:rsidR="00CA7E68">
              <w:rPr>
                <w:noProof/>
                <w:webHidden/>
              </w:rPr>
              <w:tab/>
            </w:r>
            <w:r w:rsidR="00CA7E68">
              <w:rPr>
                <w:noProof/>
                <w:webHidden/>
              </w:rPr>
              <w:fldChar w:fldCharType="begin"/>
            </w:r>
            <w:r w:rsidR="00CA7E68">
              <w:rPr>
                <w:noProof/>
                <w:webHidden/>
              </w:rPr>
              <w:instrText xml:space="preserve"> PAGEREF _Toc117608130 \h </w:instrText>
            </w:r>
            <w:r w:rsidR="00CA7E68">
              <w:rPr>
                <w:noProof/>
                <w:webHidden/>
              </w:rPr>
            </w:r>
            <w:r w:rsidR="00CA7E68">
              <w:rPr>
                <w:noProof/>
                <w:webHidden/>
              </w:rPr>
              <w:fldChar w:fldCharType="separate"/>
            </w:r>
            <w:r w:rsidR="00536F5C">
              <w:rPr>
                <w:noProof/>
                <w:webHidden/>
              </w:rPr>
              <w:t>3</w:t>
            </w:r>
            <w:r w:rsidR="00CA7E68">
              <w:rPr>
                <w:noProof/>
                <w:webHidden/>
              </w:rPr>
              <w:fldChar w:fldCharType="end"/>
            </w:r>
          </w:hyperlink>
        </w:p>
        <w:p w:rsidR="00CA7E68" w:rsidRDefault="00616E65">
          <w:pPr>
            <w:pStyle w:val="Sumrio2"/>
            <w:tabs>
              <w:tab w:val="left" w:pos="880"/>
              <w:tab w:val="right" w:leader="dot" w:pos="8779"/>
            </w:tabs>
            <w:rPr>
              <w:rFonts w:eastAsiaTheme="minorEastAsia"/>
              <w:noProof/>
              <w:lang w:eastAsia="pt-BR"/>
            </w:rPr>
          </w:pPr>
          <w:hyperlink w:anchor="_Toc117608131" w:history="1">
            <w:r w:rsidR="00CA7E68" w:rsidRPr="00DC2634">
              <w:rPr>
                <w:rStyle w:val="Hyperlink"/>
                <w:rFonts w:ascii="Arial" w:hAnsi="Arial" w:cs="Arial"/>
                <w:b/>
                <w:noProof/>
              </w:rPr>
              <w:t>4.2.</w:t>
            </w:r>
            <w:r w:rsidR="00CA7E68">
              <w:rPr>
                <w:rFonts w:eastAsiaTheme="minorEastAsia"/>
                <w:noProof/>
                <w:lang w:eastAsia="pt-BR"/>
              </w:rPr>
              <w:tab/>
            </w:r>
            <w:r w:rsidR="00CA7E68" w:rsidRPr="00DC2634">
              <w:rPr>
                <w:rStyle w:val="Hyperlink"/>
                <w:rFonts w:ascii="Arial" w:hAnsi="Arial" w:cs="Arial"/>
                <w:b/>
                <w:noProof/>
              </w:rPr>
              <w:t>Sinalização de incêndio</w:t>
            </w:r>
            <w:r w:rsidR="00CA7E68">
              <w:rPr>
                <w:noProof/>
                <w:webHidden/>
              </w:rPr>
              <w:tab/>
            </w:r>
            <w:r w:rsidR="00CA7E68">
              <w:rPr>
                <w:noProof/>
                <w:webHidden/>
              </w:rPr>
              <w:fldChar w:fldCharType="begin"/>
            </w:r>
            <w:r w:rsidR="00CA7E68">
              <w:rPr>
                <w:noProof/>
                <w:webHidden/>
              </w:rPr>
              <w:instrText xml:space="preserve"> PAGEREF _Toc117608131 \h </w:instrText>
            </w:r>
            <w:r w:rsidR="00CA7E68">
              <w:rPr>
                <w:noProof/>
                <w:webHidden/>
              </w:rPr>
            </w:r>
            <w:r w:rsidR="00CA7E68">
              <w:rPr>
                <w:noProof/>
                <w:webHidden/>
              </w:rPr>
              <w:fldChar w:fldCharType="separate"/>
            </w:r>
            <w:r w:rsidR="00536F5C">
              <w:rPr>
                <w:noProof/>
                <w:webHidden/>
              </w:rPr>
              <w:t>4</w:t>
            </w:r>
            <w:r w:rsidR="00CA7E68">
              <w:rPr>
                <w:noProof/>
                <w:webHidden/>
              </w:rPr>
              <w:fldChar w:fldCharType="end"/>
            </w:r>
          </w:hyperlink>
        </w:p>
        <w:p w:rsidR="00CA7E68" w:rsidRDefault="00616E65">
          <w:pPr>
            <w:pStyle w:val="Sumrio2"/>
            <w:tabs>
              <w:tab w:val="left" w:pos="880"/>
              <w:tab w:val="right" w:leader="dot" w:pos="8779"/>
            </w:tabs>
            <w:rPr>
              <w:rFonts w:eastAsiaTheme="minorEastAsia"/>
              <w:noProof/>
              <w:lang w:eastAsia="pt-BR"/>
            </w:rPr>
          </w:pPr>
          <w:hyperlink w:anchor="_Toc117608132" w:history="1">
            <w:r w:rsidR="00CA7E68" w:rsidRPr="00DC2634">
              <w:rPr>
                <w:rStyle w:val="Hyperlink"/>
                <w:rFonts w:ascii="Arial" w:hAnsi="Arial" w:cs="Arial"/>
                <w:b/>
                <w:noProof/>
              </w:rPr>
              <w:t>4.3.</w:t>
            </w:r>
            <w:r w:rsidR="00CA7E68">
              <w:rPr>
                <w:rFonts w:eastAsiaTheme="minorEastAsia"/>
                <w:noProof/>
                <w:lang w:eastAsia="pt-BR"/>
              </w:rPr>
              <w:tab/>
            </w:r>
            <w:r w:rsidR="00CA7E68" w:rsidRPr="00DC2634">
              <w:rPr>
                <w:rStyle w:val="Hyperlink"/>
                <w:rFonts w:ascii="Arial" w:hAnsi="Arial" w:cs="Arial"/>
                <w:b/>
                <w:noProof/>
              </w:rPr>
              <w:t>Extintores de incêndio</w:t>
            </w:r>
            <w:r w:rsidR="00CA7E68">
              <w:rPr>
                <w:noProof/>
                <w:webHidden/>
              </w:rPr>
              <w:tab/>
            </w:r>
            <w:r w:rsidR="00CA7E68">
              <w:rPr>
                <w:noProof/>
                <w:webHidden/>
              </w:rPr>
              <w:fldChar w:fldCharType="begin"/>
            </w:r>
            <w:r w:rsidR="00CA7E68">
              <w:rPr>
                <w:noProof/>
                <w:webHidden/>
              </w:rPr>
              <w:instrText xml:space="preserve"> PAGEREF _Toc117608132 \h </w:instrText>
            </w:r>
            <w:r w:rsidR="00CA7E68">
              <w:rPr>
                <w:noProof/>
                <w:webHidden/>
              </w:rPr>
            </w:r>
            <w:r w:rsidR="00CA7E68">
              <w:rPr>
                <w:noProof/>
                <w:webHidden/>
              </w:rPr>
              <w:fldChar w:fldCharType="separate"/>
            </w:r>
            <w:r w:rsidR="00536F5C">
              <w:rPr>
                <w:noProof/>
                <w:webHidden/>
              </w:rPr>
              <w:t>4</w:t>
            </w:r>
            <w:r w:rsidR="00CA7E68">
              <w:rPr>
                <w:noProof/>
                <w:webHidden/>
              </w:rPr>
              <w:fldChar w:fldCharType="end"/>
            </w:r>
          </w:hyperlink>
        </w:p>
        <w:p w:rsidR="00CA7E68" w:rsidRDefault="00616E65">
          <w:pPr>
            <w:pStyle w:val="Sumrio2"/>
            <w:tabs>
              <w:tab w:val="left" w:pos="880"/>
              <w:tab w:val="right" w:leader="dot" w:pos="8779"/>
            </w:tabs>
            <w:rPr>
              <w:rFonts w:eastAsiaTheme="minorEastAsia"/>
              <w:noProof/>
              <w:lang w:eastAsia="pt-BR"/>
            </w:rPr>
          </w:pPr>
          <w:hyperlink w:anchor="_Toc117608133" w:history="1">
            <w:r w:rsidR="00CA7E68" w:rsidRPr="00DC2634">
              <w:rPr>
                <w:rStyle w:val="Hyperlink"/>
                <w:rFonts w:ascii="Arial" w:hAnsi="Arial" w:cs="Arial"/>
                <w:b/>
                <w:noProof/>
              </w:rPr>
              <w:t>4.4.</w:t>
            </w:r>
            <w:r w:rsidR="00CA7E68">
              <w:rPr>
                <w:rFonts w:eastAsiaTheme="minorEastAsia"/>
                <w:noProof/>
                <w:lang w:eastAsia="pt-BR"/>
              </w:rPr>
              <w:tab/>
            </w:r>
            <w:r w:rsidR="00CA7E68" w:rsidRPr="00DC2634">
              <w:rPr>
                <w:rStyle w:val="Hyperlink"/>
                <w:rFonts w:ascii="Arial" w:hAnsi="Arial" w:cs="Arial"/>
                <w:b/>
                <w:noProof/>
              </w:rPr>
              <w:t>Hidrantes</w:t>
            </w:r>
            <w:r w:rsidR="00CA7E68">
              <w:rPr>
                <w:noProof/>
                <w:webHidden/>
              </w:rPr>
              <w:tab/>
            </w:r>
            <w:r w:rsidR="00CA7E68">
              <w:rPr>
                <w:noProof/>
                <w:webHidden/>
              </w:rPr>
              <w:fldChar w:fldCharType="begin"/>
            </w:r>
            <w:r w:rsidR="00CA7E68">
              <w:rPr>
                <w:noProof/>
                <w:webHidden/>
              </w:rPr>
              <w:instrText xml:space="preserve"> PAGEREF _Toc117608133 \h </w:instrText>
            </w:r>
            <w:r w:rsidR="00CA7E68">
              <w:rPr>
                <w:noProof/>
                <w:webHidden/>
              </w:rPr>
            </w:r>
            <w:r w:rsidR="00CA7E68">
              <w:rPr>
                <w:noProof/>
                <w:webHidden/>
              </w:rPr>
              <w:fldChar w:fldCharType="separate"/>
            </w:r>
            <w:r w:rsidR="00536F5C">
              <w:rPr>
                <w:noProof/>
                <w:webHidden/>
              </w:rPr>
              <w:t>4</w:t>
            </w:r>
            <w:r w:rsidR="00CA7E68">
              <w:rPr>
                <w:noProof/>
                <w:webHidden/>
              </w:rPr>
              <w:fldChar w:fldCharType="end"/>
            </w:r>
          </w:hyperlink>
        </w:p>
        <w:p w:rsidR="00B13A12" w:rsidRDefault="00B13A12" w:rsidP="00234FC3">
          <w:pPr>
            <w:spacing w:line="240" w:lineRule="auto"/>
            <w:rPr>
              <w:rFonts w:ascii="Arial" w:hAnsi="Arial" w:cs="Arial"/>
              <w:b/>
              <w:bCs/>
            </w:rPr>
          </w:pPr>
          <w:r w:rsidRPr="003B68BF">
            <w:rPr>
              <w:rFonts w:ascii="Arial" w:hAnsi="Arial" w:cs="Arial"/>
              <w:b/>
              <w:bCs/>
            </w:rPr>
            <w:fldChar w:fldCharType="end"/>
          </w:r>
        </w:p>
      </w:sdtContent>
    </w:sdt>
    <w:p w:rsidR="00B13A12" w:rsidRDefault="00B13A12"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854A16" w:rsidRDefault="00854A16"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7E5CC1" w:rsidRDefault="007E5CC1" w:rsidP="00D17420">
      <w:pPr>
        <w:jc w:val="both"/>
        <w:rPr>
          <w:rFonts w:ascii="Arial" w:hAnsi="Arial" w:cs="Arial"/>
          <w:sz w:val="24"/>
          <w:szCs w:val="24"/>
        </w:rPr>
      </w:pPr>
    </w:p>
    <w:p w:rsidR="00CA7E68" w:rsidRPr="00CA7E68" w:rsidRDefault="00CA7E68" w:rsidP="00CA7E68">
      <w:pPr>
        <w:pStyle w:val="PargrafodaLista"/>
        <w:numPr>
          <w:ilvl w:val="0"/>
          <w:numId w:val="22"/>
        </w:numPr>
        <w:outlineLvl w:val="0"/>
        <w:rPr>
          <w:rFonts w:ascii="Arial" w:hAnsi="Arial" w:cs="Arial"/>
          <w:b/>
          <w:sz w:val="24"/>
          <w:szCs w:val="24"/>
        </w:rPr>
      </w:pPr>
      <w:bookmarkStart w:id="0" w:name="_Toc117608126"/>
      <w:r w:rsidRPr="00CA7E68">
        <w:rPr>
          <w:rFonts w:ascii="Arial" w:hAnsi="Arial" w:cs="Arial"/>
          <w:b/>
          <w:sz w:val="24"/>
          <w:szCs w:val="24"/>
        </w:rPr>
        <w:lastRenderedPageBreak/>
        <w:t>APRESENTAÇÃO</w:t>
      </w:r>
      <w:bookmarkEnd w:id="0"/>
      <w:r w:rsidRPr="00CA7E68">
        <w:rPr>
          <w:rFonts w:ascii="Arial" w:hAnsi="Arial" w:cs="Arial"/>
          <w:b/>
          <w:sz w:val="24"/>
          <w:szCs w:val="24"/>
        </w:rPr>
        <w:t xml:space="preserve"> </w:t>
      </w:r>
    </w:p>
    <w:p w:rsidR="00CA7E68" w:rsidRPr="00CA7E68" w:rsidRDefault="00CA7E68" w:rsidP="00CA7E68">
      <w:pPr>
        <w:ind w:left="-1" w:firstLine="709"/>
        <w:jc w:val="both"/>
        <w:rPr>
          <w:rFonts w:ascii="Arial" w:hAnsi="Arial" w:cs="Arial"/>
          <w:sz w:val="24"/>
          <w:szCs w:val="24"/>
        </w:rPr>
      </w:pPr>
      <w:r w:rsidRPr="00CA7E68">
        <w:rPr>
          <w:rFonts w:ascii="Arial" w:hAnsi="Arial" w:cs="Arial"/>
          <w:sz w:val="24"/>
          <w:szCs w:val="24"/>
        </w:rPr>
        <w:t xml:space="preserve">O presente relatório é parte integrante dos trabalhos a serem desenvolvidos para a Companhia de Desenvolvimento Habitacional e Urbano do Estado de São Paulo - CDHU, para a elaboração de Projetos de Combate a Incêndio. </w:t>
      </w:r>
    </w:p>
    <w:p w:rsidR="00AD7B94" w:rsidRDefault="00CA7E68" w:rsidP="00CA7E68">
      <w:pPr>
        <w:ind w:left="-1" w:firstLine="709"/>
        <w:jc w:val="both"/>
        <w:rPr>
          <w:rFonts w:ascii="Arial" w:hAnsi="Arial" w:cs="Arial"/>
          <w:sz w:val="24"/>
          <w:szCs w:val="24"/>
        </w:rPr>
      </w:pPr>
      <w:r w:rsidRPr="00CA7E68">
        <w:rPr>
          <w:rFonts w:ascii="Arial" w:hAnsi="Arial" w:cs="Arial"/>
          <w:sz w:val="24"/>
          <w:szCs w:val="24"/>
        </w:rPr>
        <w:t>Este relatório em particular trata do sistema de proteção e combate a incêndio do Conjunto Habitaciona</w:t>
      </w:r>
      <w:r>
        <w:rPr>
          <w:rFonts w:ascii="Arial" w:hAnsi="Arial" w:cs="Arial"/>
          <w:sz w:val="24"/>
          <w:szCs w:val="24"/>
        </w:rPr>
        <w:t>l Pequiá, composto de 07 blocos.</w:t>
      </w:r>
    </w:p>
    <w:p w:rsidR="00CA7E68" w:rsidRPr="00CA7E68" w:rsidRDefault="00CA7E68" w:rsidP="00CA7E68">
      <w:pPr>
        <w:ind w:left="-1" w:firstLine="709"/>
        <w:jc w:val="both"/>
        <w:rPr>
          <w:rFonts w:ascii="Arial" w:hAnsi="Arial" w:cs="Arial"/>
          <w:sz w:val="2"/>
          <w:szCs w:val="2"/>
        </w:rPr>
      </w:pPr>
    </w:p>
    <w:p w:rsidR="00CA7E68" w:rsidRDefault="00CA7E68" w:rsidP="00CA7E68">
      <w:pPr>
        <w:pStyle w:val="PargrafodaLista"/>
        <w:numPr>
          <w:ilvl w:val="0"/>
          <w:numId w:val="22"/>
        </w:numPr>
        <w:outlineLvl w:val="0"/>
        <w:rPr>
          <w:rFonts w:ascii="Arial" w:hAnsi="Arial" w:cs="Arial"/>
          <w:b/>
          <w:sz w:val="24"/>
          <w:szCs w:val="24"/>
        </w:rPr>
      </w:pPr>
      <w:bookmarkStart w:id="1" w:name="_Toc117608127"/>
      <w:r>
        <w:rPr>
          <w:rFonts w:ascii="Arial" w:hAnsi="Arial" w:cs="Arial"/>
          <w:b/>
          <w:sz w:val="24"/>
          <w:szCs w:val="24"/>
        </w:rPr>
        <w:t>NORMAS UTILIZADAS</w:t>
      </w:r>
      <w:bookmarkEnd w:id="1"/>
    </w:p>
    <w:p w:rsidR="00CA7E68" w:rsidRDefault="00CA7E68" w:rsidP="00CA7E68">
      <w:pPr>
        <w:pStyle w:val="PargrafodaLista"/>
        <w:ind w:left="360"/>
        <w:rPr>
          <w:rFonts w:ascii="Arial" w:hAnsi="Arial" w:cs="Arial"/>
          <w:b/>
          <w:sz w:val="24"/>
          <w:szCs w:val="24"/>
        </w:rPr>
      </w:pPr>
    </w:p>
    <w:p w:rsid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NBR 9441/98 Execução de sistemas de detecção e alarme de incêndio geral;</w:t>
      </w:r>
    </w:p>
    <w:p w:rsidR="00CA7E68" w:rsidRP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IT nº 19/19 – Sistemas de detecção de alarme de incêndio; </w:t>
      </w:r>
    </w:p>
    <w:p w:rsidR="00CA7E68" w:rsidRP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IT nº 20/19 – Sinalização de Emergência; </w:t>
      </w:r>
    </w:p>
    <w:p w:rsidR="00CA7E68" w:rsidRP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IT nº 21/19 – Sistema de proteção por extintores de incêndio; </w:t>
      </w:r>
    </w:p>
    <w:p w:rsidR="00CA7E68" w:rsidRP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NBR 13714/2000 – Sistemas de hidrantes e de </w:t>
      </w:r>
      <w:proofErr w:type="spellStart"/>
      <w:r w:rsidRPr="00CA7E68">
        <w:rPr>
          <w:rFonts w:ascii="Arial" w:hAnsi="Arial" w:cs="Arial"/>
          <w:sz w:val="24"/>
          <w:szCs w:val="24"/>
        </w:rPr>
        <w:t>mangotinhos</w:t>
      </w:r>
      <w:proofErr w:type="spellEnd"/>
      <w:r w:rsidRPr="00CA7E68">
        <w:rPr>
          <w:rFonts w:ascii="Arial" w:hAnsi="Arial" w:cs="Arial"/>
          <w:sz w:val="24"/>
          <w:szCs w:val="24"/>
        </w:rPr>
        <w:t xml:space="preserve"> para combate a incêndio, Associação Brasileira de Normas Técnicas; </w:t>
      </w:r>
    </w:p>
    <w:p w:rsid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IT nº 22/19 – Sistema de hidrantes e </w:t>
      </w:r>
      <w:proofErr w:type="spellStart"/>
      <w:r w:rsidRPr="00CA7E68">
        <w:rPr>
          <w:rFonts w:ascii="Arial" w:hAnsi="Arial" w:cs="Arial"/>
          <w:sz w:val="24"/>
          <w:szCs w:val="24"/>
        </w:rPr>
        <w:t>mangotinhos</w:t>
      </w:r>
      <w:proofErr w:type="spellEnd"/>
      <w:r w:rsidRPr="00CA7E68">
        <w:rPr>
          <w:rFonts w:ascii="Arial" w:hAnsi="Arial" w:cs="Arial"/>
          <w:sz w:val="24"/>
          <w:szCs w:val="24"/>
        </w:rPr>
        <w:t xml:space="preserve"> para combate a incêndio; </w:t>
      </w:r>
    </w:p>
    <w:p w:rsidR="00CA7E68" w:rsidRDefault="00CA7E68" w:rsidP="00CA7E68">
      <w:pPr>
        <w:pStyle w:val="PargrafodaLista"/>
        <w:numPr>
          <w:ilvl w:val="0"/>
          <w:numId w:val="23"/>
        </w:numPr>
        <w:jc w:val="both"/>
        <w:rPr>
          <w:rFonts w:ascii="Arial" w:hAnsi="Arial" w:cs="Arial"/>
          <w:sz w:val="24"/>
          <w:szCs w:val="24"/>
        </w:rPr>
      </w:pPr>
      <w:r w:rsidRPr="00CA7E68">
        <w:rPr>
          <w:rFonts w:ascii="Arial" w:hAnsi="Arial" w:cs="Arial"/>
          <w:sz w:val="24"/>
          <w:szCs w:val="24"/>
        </w:rPr>
        <w:t xml:space="preserve">DE 63911/18– Decreto Estadual do Corpo de Bombeiros do Estado de São Paulo. </w:t>
      </w:r>
    </w:p>
    <w:p w:rsidR="00CA7E68" w:rsidRPr="00CA7E68" w:rsidRDefault="00CA7E68" w:rsidP="00CA7E68">
      <w:pPr>
        <w:pStyle w:val="PargrafodaLista"/>
        <w:jc w:val="both"/>
        <w:rPr>
          <w:rFonts w:ascii="Arial" w:hAnsi="Arial" w:cs="Arial"/>
          <w:sz w:val="24"/>
          <w:szCs w:val="24"/>
        </w:rPr>
      </w:pPr>
    </w:p>
    <w:p w:rsidR="00CA7E68" w:rsidRPr="00CA7E68" w:rsidRDefault="00CA7E68" w:rsidP="00CA7E68">
      <w:pPr>
        <w:pStyle w:val="PargrafodaLista"/>
        <w:numPr>
          <w:ilvl w:val="0"/>
          <w:numId w:val="22"/>
        </w:numPr>
        <w:outlineLvl w:val="0"/>
        <w:rPr>
          <w:rFonts w:ascii="Arial" w:hAnsi="Arial" w:cs="Arial"/>
          <w:b/>
          <w:sz w:val="24"/>
          <w:szCs w:val="24"/>
        </w:rPr>
      </w:pPr>
      <w:bookmarkStart w:id="2" w:name="_Toc117608128"/>
      <w:r w:rsidRPr="00CA7E68">
        <w:rPr>
          <w:rFonts w:ascii="Arial" w:hAnsi="Arial" w:cs="Arial"/>
          <w:b/>
          <w:sz w:val="24"/>
          <w:szCs w:val="24"/>
        </w:rPr>
        <w:t>CLASSIFICAÇÃO DA EDIFICAÇÃO</w:t>
      </w:r>
      <w:bookmarkEnd w:id="2"/>
      <w:r w:rsidRPr="00CA7E68">
        <w:rPr>
          <w:rFonts w:ascii="Arial" w:hAnsi="Arial" w:cs="Arial"/>
          <w:b/>
          <w:sz w:val="24"/>
          <w:szCs w:val="24"/>
        </w:rPr>
        <w:t xml:space="preserve"> </w:t>
      </w:r>
    </w:p>
    <w:p w:rsidR="00CA7E68" w:rsidRDefault="00CA7E68" w:rsidP="00CA7E68">
      <w:pPr>
        <w:ind w:firstLine="708"/>
        <w:jc w:val="both"/>
        <w:rPr>
          <w:rFonts w:ascii="Arial" w:hAnsi="Arial" w:cs="Arial"/>
          <w:sz w:val="24"/>
          <w:szCs w:val="24"/>
        </w:rPr>
      </w:pPr>
      <w:r w:rsidRPr="00CA7E68">
        <w:rPr>
          <w:rFonts w:ascii="Arial" w:hAnsi="Arial" w:cs="Arial"/>
          <w:sz w:val="24"/>
          <w:szCs w:val="24"/>
        </w:rPr>
        <w:t xml:space="preserve">As edificações foram classificadas como ocupação residencial, A-2, risco baixo, 300 </w:t>
      </w:r>
      <w:proofErr w:type="spellStart"/>
      <w:r w:rsidRPr="00CA7E68">
        <w:rPr>
          <w:rFonts w:ascii="Arial" w:hAnsi="Arial" w:cs="Arial"/>
          <w:sz w:val="24"/>
          <w:szCs w:val="24"/>
        </w:rPr>
        <w:t>Mj</w:t>
      </w:r>
      <w:proofErr w:type="spellEnd"/>
      <w:r w:rsidRPr="00CA7E68">
        <w:rPr>
          <w:rFonts w:ascii="Arial" w:hAnsi="Arial" w:cs="Arial"/>
          <w:sz w:val="24"/>
          <w:szCs w:val="24"/>
        </w:rPr>
        <w:t xml:space="preserve">/m2, conforme IT n٥ 14/19 e Decreto Estadual do CBMESP nº 63911/18. </w:t>
      </w:r>
    </w:p>
    <w:p w:rsidR="00CA7E68" w:rsidRPr="00CA7E68" w:rsidRDefault="00CA7E68" w:rsidP="00CA7E68">
      <w:pPr>
        <w:ind w:firstLine="708"/>
        <w:jc w:val="both"/>
        <w:rPr>
          <w:rFonts w:ascii="Arial" w:hAnsi="Arial" w:cs="Arial"/>
          <w:sz w:val="2"/>
          <w:szCs w:val="2"/>
        </w:rPr>
      </w:pPr>
    </w:p>
    <w:p w:rsidR="00CA7E68" w:rsidRDefault="00CA7E68" w:rsidP="00CA7E68">
      <w:pPr>
        <w:pStyle w:val="PargrafodaLista"/>
        <w:numPr>
          <w:ilvl w:val="0"/>
          <w:numId w:val="22"/>
        </w:numPr>
        <w:outlineLvl w:val="0"/>
        <w:rPr>
          <w:rFonts w:ascii="Arial" w:hAnsi="Arial" w:cs="Arial"/>
          <w:b/>
          <w:sz w:val="24"/>
          <w:szCs w:val="24"/>
        </w:rPr>
      </w:pPr>
      <w:bookmarkStart w:id="3" w:name="_Toc117608129"/>
      <w:r w:rsidRPr="00CA7E68">
        <w:rPr>
          <w:rFonts w:ascii="Arial" w:hAnsi="Arial" w:cs="Arial"/>
          <w:b/>
          <w:sz w:val="24"/>
          <w:szCs w:val="24"/>
        </w:rPr>
        <w:t>ESPECIFICAÇÃO DE MATERIAIS</w:t>
      </w:r>
      <w:bookmarkEnd w:id="3"/>
    </w:p>
    <w:p w:rsidR="00CA7E68" w:rsidRPr="00CA7E68" w:rsidRDefault="00CA7E68" w:rsidP="00CA7E68">
      <w:pPr>
        <w:pStyle w:val="PargrafodaLista"/>
        <w:ind w:left="360"/>
        <w:rPr>
          <w:rFonts w:ascii="Arial" w:hAnsi="Arial" w:cs="Arial"/>
          <w:b/>
          <w:sz w:val="10"/>
          <w:szCs w:val="10"/>
        </w:rPr>
      </w:pPr>
    </w:p>
    <w:p w:rsidR="00CA7E68" w:rsidRPr="00CA7E68" w:rsidRDefault="00CA7E68" w:rsidP="00CA7E68">
      <w:pPr>
        <w:pStyle w:val="PargrafodaLista"/>
        <w:numPr>
          <w:ilvl w:val="1"/>
          <w:numId w:val="22"/>
        </w:numPr>
        <w:ind w:left="426" w:hanging="426"/>
        <w:outlineLvl w:val="1"/>
        <w:rPr>
          <w:rFonts w:ascii="Arial" w:hAnsi="Arial" w:cs="Arial"/>
          <w:b/>
          <w:sz w:val="24"/>
          <w:szCs w:val="24"/>
        </w:rPr>
      </w:pPr>
      <w:bookmarkStart w:id="4" w:name="_Toc117608130"/>
      <w:r w:rsidRPr="00CA7E68">
        <w:rPr>
          <w:rFonts w:ascii="Arial" w:hAnsi="Arial" w:cs="Arial"/>
          <w:b/>
          <w:sz w:val="24"/>
          <w:szCs w:val="24"/>
        </w:rPr>
        <w:t>Sistema de detecção e alarme de incêndio</w:t>
      </w:r>
      <w:bookmarkEnd w:id="4"/>
      <w:r w:rsidRPr="00CA7E68">
        <w:rPr>
          <w:rFonts w:ascii="Arial" w:hAnsi="Arial" w:cs="Arial"/>
          <w:b/>
          <w:sz w:val="24"/>
          <w:szCs w:val="24"/>
        </w:rPr>
        <w:t xml:space="preserve">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O sistema deve ter duas fontes de alimentação, uma principal é a rede de tensão alternada e a auxiliar é constituída por baterias ou “</w:t>
      </w:r>
      <w:proofErr w:type="spellStart"/>
      <w:r w:rsidRPr="00CA7E68">
        <w:rPr>
          <w:rFonts w:ascii="Arial" w:hAnsi="Arial" w:cs="Arial"/>
          <w:sz w:val="24"/>
          <w:szCs w:val="24"/>
        </w:rPr>
        <w:t>no-break</w:t>
      </w:r>
      <w:proofErr w:type="spellEnd"/>
      <w:r w:rsidRPr="00CA7E68">
        <w:rPr>
          <w:rFonts w:ascii="Arial" w:hAnsi="Arial" w:cs="Arial"/>
          <w:sz w:val="24"/>
          <w:szCs w:val="24"/>
        </w:rPr>
        <w:t xml:space="preserve">” com autonomia mínima de 24 h em regime de supervisão, sendo que o regime de alarme deve ser de no mínimo 15 min, para suprimento das indicações sonoras e/ou visuais ou o tempo necessário para a evacuação da edificação.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As centrais de detecção e alarme possuirão dispositivo de teste dos indicadores luminosos e dos sinalizadores acústicos, e estará em local de </w:t>
      </w:r>
      <w:r w:rsidRPr="00CA7E68">
        <w:rPr>
          <w:rFonts w:ascii="Arial" w:hAnsi="Arial" w:cs="Arial"/>
          <w:sz w:val="24"/>
          <w:szCs w:val="24"/>
        </w:rPr>
        <w:lastRenderedPageBreak/>
        <w:t xml:space="preserve">vigilância humana e de fácil visualização. Os elementos de proteção contra calor que contenham a fiação do sistema deverão ter resistência mínima de 60 min.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Os eletrodutos e a fiação devem atender aos itens 5.3.8.1 a 5.3.8.5 da NBR 9441/98.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Os acionadores manuais instalados na edificação devem obrigatoriamente conter a indicação de funcionamento (cor verde) e alarme (cor vermelha) indicando o funcionamento e supervisão do sistema, quando a central do sistema for do tipo convencional. Quando a central for do tipo inteligente pode ser dispensada a presença dos </w:t>
      </w:r>
      <w:proofErr w:type="spellStart"/>
      <w:r w:rsidRPr="00CA7E68">
        <w:rPr>
          <w:rFonts w:ascii="Arial" w:hAnsi="Arial" w:cs="Arial"/>
          <w:sz w:val="24"/>
          <w:szCs w:val="24"/>
        </w:rPr>
        <w:t>leds</w:t>
      </w:r>
      <w:proofErr w:type="spellEnd"/>
      <w:r w:rsidRPr="00CA7E68">
        <w:rPr>
          <w:rFonts w:ascii="Arial" w:hAnsi="Arial" w:cs="Arial"/>
          <w:sz w:val="24"/>
          <w:szCs w:val="24"/>
        </w:rPr>
        <w:t xml:space="preserve"> nos acionadores, desde que haja um retorno do alarme, para a pessoa que acionou o dispositivo, informando que a central recebeu a identificação.</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Nas centrais de detecção e/ou alarme é obrigatório conter um painel/esquema ilustrativo indicando a localização com identificação dos acionadores manuais ou detectores dispostos na área da edificação, respeitadas as características técnicas da central. Esse painel pode ser substituído por um display da central que indique a localização do acionamento.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O sistema de alarme pode ser substituído pelo sistema de interfone, desde que cada apartamento possua um ramal ligado à central, que deve ficar numa portaria com vigilância humana 24 horas e tenha uma fonte autônoma, com duração mínima de 60 min. </w:t>
      </w:r>
    </w:p>
    <w:p w:rsidR="00CA7E68" w:rsidRPr="00CA7E68" w:rsidRDefault="00CA7E68" w:rsidP="00CA7E68">
      <w:pPr>
        <w:pStyle w:val="PargrafodaLista"/>
        <w:numPr>
          <w:ilvl w:val="1"/>
          <w:numId w:val="22"/>
        </w:numPr>
        <w:ind w:left="426" w:hanging="426"/>
        <w:outlineLvl w:val="1"/>
        <w:rPr>
          <w:rFonts w:ascii="Arial" w:hAnsi="Arial" w:cs="Arial"/>
          <w:b/>
          <w:sz w:val="24"/>
          <w:szCs w:val="24"/>
        </w:rPr>
      </w:pPr>
      <w:bookmarkStart w:id="5" w:name="_Toc117608131"/>
      <w:r w:rsidRPr="00CA7E68">
        <w:rPr>
          <w:rFonts w:ascii="Arial" w:hAnsi="Arial" w:cs="Arial"/>
          <w:b/>
          <w:sz w:val="24"/>
          <w:szCs w:val="24"/>
        </w:rPr>
        <w:t>Sinalização de incêndio</w:t>
      </w:r>
      <w:bookmarkEnd w:id="5"/>
      <w:r w:rsidRPr="00CA7E68">
        <w:rPr>
          <w:rFonts w:ascii="Arial" w:hAnsi="Arial" w:cs="Arial"/>
          <w:b/>
          <w:sz w:val="24"/>
          <w:szCs w:val="24"/>
        </w:rPr>
        <w:t xml:space="preserve">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A sinalização de emergência deve conter na integra o contido </w:t>
      </w:r>
      <w:proofErr w:type="gramStart"/>
      <w:r w:rsidRPr="00CA7E68">
        <w:rPr>
          <w:rFonts w:ascii="Arial" w:hAnsi="Arial" w:cs="Arial"/>
          <w:sz w:val="24"/>
          <w:szCs w:val="24"/>
        </w:rPr>
        <w:t>na IT</w:t>
      </w:r>
      <w:proofErr w:type="gramEnd"/>
      <w:r w:rsidRPr="00CA7E68">
        <w:rPr>
          <w:rFonts w:ascii="Arial" w:hAnsi="Arial" w:cs="Arial"/>
          <w:sz w:val="24"/>
          <w:szCs w:val="24"/>
        </w:rPr>
        <w:t xml:space="preserve"> nº 20/19. </w:t>
      </w:r>
    </w:p>
    <w:p w:rsidR="00CA7E68" w:rsidRPr="00CA7E68" w:rsidRDefault="00CA7E68" w:rsidP="00CA7E68">
      <w:pPr>
        <w:pStyle w:val="PargrafodaLista"/>
        <w:numPr>
          <w:ilvl w:val="1"/>
          <w:numId w:val="22"/>
        </w:numPr>
        <w:ind w:left="426" w:hanging="426"/>
        <w:outlineLvl w:val="1"/>
        <w:rPr>
          <w:rFonts w:ascii="Arial" w:hAnsi="Arial" w:cs="Arial"/>
          <w:b/>
          <w:sz w:val="24"/>
          <w:szCs w:val="24"/>
        </w:rPr>
      </w:pPr>
      <w:bookmarkStart w:id="6" w:name="_Toc117608132"/>
      <w:r w:rsidRPr="00CA7E68">
        <w:rPr>
          <w:rFonts w:ascii="Arial" w:hAnsi="Arial" w:cs="Arial"/>
          <w:b/>
          <w:sz w:val="24"/>
          <w:szCs w:val="24"/>
        </w:rPr>
        <w:t>Extintores de incêndio</w:t>
      </w:r>
      <w:bookmarkEnd w:id="6"/>
      <w:r w:rsidRPr="00CA7E68">
        <w:rPr>
          <w:rFonts w:ascii="Arial" w:hAnsi="Arial" w:cs="Arial"/>
          <w:b/>
          <w:sz w:val="24"/>
          <w:szCs w:val="24"/>
        </w:rPr>
        <w:t xml:space="preserve"> </w:t>
      </w:r>
    </w:p>
    <w:p w:rsidR="00CA7E68" w:rsidRDefault="00CA7E68" w:rsidP="00CA7E68">
      <w:pPr>
        <w:ind w:firstLine="708"/>
        <w:jc w:val="both"/>
        <w:rPr>
          <w:rFonts w:ascii="Arial" w:hAnsi="Arial" w:cs="Arial"/>
          <w:sz w:val="24"/>
          <w:szCs w:val="24"/>
        </w:rPr>
      </w:pPr>
      <w:r w:rsidRPr="00CA7E68">
        <w:rPr>
          <w:rFonts w:ascii="Arial" w:hAnsi="Arial" w:cs="Arial"/>
          <w:sz w:val="24"/>
          <w:szCs w:val="24"/>
        </w:rPr>
        <w:t xml:space="preserve">Extintores portáteis de incêndio devem possuir marca de conformidade concedida por órgão credenciado pelo Sistema Brasileiro de Certificação, com identificação do prazo de validade/garantia de funcionamento dos extintores deve ser aquele estabelecido pelo fabricante e ou da empresa de manutenção certificada. Devem ser instalados fixos às paredes a uma altura máxima de 1,60m do piso acabado e mínima de 0,10m apoiadas em suportes. </w:t>
      </w:r>
    </w:p>
    <w:p w:rsidR="00CA7E68" w:rsidRPr="00CA7E68" w:rsidRDefault="00CA7E68" w:rsidP="00CA7E68">
      <w:pPr>
        <w:ind w:firstLine="708"/>
        <w:jc w:val="both"/>
        <w:rPr>
          <w:rFonts w:ascii="Arial" w:hAnsi="Arial" w:cs="Arial"/>
          <w:sz w:val="2"/>
          <w:szCs w:val="2"/>
        </w:rPr>
      </w:pPr>
    </w:p>
    <w:p w:rsidR="00CA7E68" w:rsidRDefault="00CA7E68" w:rsidP="00CA7E68">
      <w:pPr>
        <w:pStyle w:val="PargrafodaLista"/>
        <w:numPr>
          <w:ilvl w:val="1"/>
          <w:numId w:val="22"/>
        </w:numPr>
        <w:ind w:left="426" w:hanging="426"/>
        <w:outlineLvl w:val="1"/>
        <w:rPr>
          <w:rFonts w:ascii="Arial" w:hAnsi="Arial" w:cs="Arial"/>
          <w:b/>
          <w:sz w:val="24"/>
          <w:szCs w:val="24"/>
        </w:rPr>
      </w:pPr>
      <w:bookmarkStart w:id="7" w:name="_Toc117608133"/>
      <w:r w:rsidRPr="00CA7E68">
        <w:rPr>
          <w:rFonts w:ascii="Arial" w:hAnsi="Arial" w:cs="Arial"/>
          <w:b/>
          <w:sz w:val="24"/>
          <w:szCs w:val="24"/>
        </w:rPr>
        <w:t>Hidrantes</w:t>
      </w:r>
      <w:bookmarkEnd w:id="7"/>
      <w:r w:rsidRPr="00CA7E68">
        <w:rPr>
          <w:rFonts w:ascii="Arial" w:hAnsi="Arial" w:cs="Arial"/>
          <w:b/>
          <w:sz w:val="24"/>
          <w:szCs w:val="24"/>
        </w:rPr>
        <w:t xml:space="preserve"> </w:t>
      </w:r>
    </w:p>
    <w:p w:rsidR="00CA7E68" w:rsidRPr="00CA7E68" w:rsidRDefault="00CA7E68" w:rsidP="00CA7E68">
      <w:pPr>
        <w:pStyle w:val="PargrafodaLista"/>
        <w:ind w:left="426"/>
        <w:rPr>
          <w:rFonts w:ascii="Arial" w:hAnsi="Arial" w:cs="Arial"/>
          <w:b/>
          <w:sz w:val="10"/>
          <w:szCs w:val="10"/>
        </w:rPr>
      </w:pPr>
    </w:p>
    <w:p w:rsidR="00CA7E68" w:rsidRPr="00CA7E68" w:rsidRDefault="00CA7E68" w:rsidP="00CA7E68">
      <w:pPr>
        <w:pStyle w:val="PargrafodaLista"/>
        <w:numPr>
          <w:ilvl w:val="2"/>
          <w:numId w:val="22"/>
        </w:numPr>
        <w:ind w:left="709" w:hanging="709"/>
        <w:rPr>
          <w:rFonts w:ascii="Arial" w:hAnsi="Arial" w:cs="Arial"/>
          <w:b/>
          <w:sz w:val="24"/>
          <w:szCs w:val="24"/>
        </w:rPr>
      </w:pPr>
      <w:r w:rsidRPr="00CA7E68">
        <w:rPr>
          <w:rFonts w:ascii="Arial" w:hAnsi="Arial" w:cs="Arial"/>
          <w:b/>
          <w:sz w:val="24"/>
          <w:szCs w:val="24"/>
        </w:rPr>
        <w:t xml:space="preserve">Registro de recalque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Caixa de alvenaria enterrada, com fundo permeável ou dreno, com tampa articulada e </w:t>
      </w:r>
      <w:proofErr w:type="spellStart"/>
      <w:r w:rsidRPr="00CA7E68">
        <w:rPr>
          <w:rFonts w:ascii="Arial" w:hAnsi="Arial" w:cs="Arial"/>
          <w:sz w:val="24"/>
          <w:szCs w:val="24"/>
        </w:rPr>
        <w:t>requadro</w:t>
      </w:r>
      <w:proofErr w:type="spellEnd"/>
      <w:r w:rsidRPr="00CA7E68">
        <w:rPr>
          <w:rFonts w:ascii="Arial" w:hAnsi="Arial" w:cs="Arial"/>
          <w:sz w:val="24"/>
          <w:szCs w:val="24"/>
        </w:rPr>
        <w:t xml:space="preserve"> em ferro fundido ou material similar, identificada pela </w:t>
      </w:r>
      <w:r w:rsidRPr="00CA7E68">
        <w:rPr>
          <w:rFonts w:ascii="Arial" w:hAnsi="Arial" w:cs="Arial"/>
          <w:sz w:val="24"/>
          <w:szCs w:val="24"/>
        </w:rPr>
        <w:lastRenderedPageBreak/>
        <w:t xml:space="preserve">palavra “INCÊNDIO”, com dimensões de 0,4 m x 0,6 m, afastada a 0,5 m da guia do passeio. Com válvula gaveta angular 45º com a introdução voltada para cima em ângulo de 45º e posicionada, no máximo, a 0,15 m de profundidade em relação ao piso do passeio.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O volante de manobra deve ser situado a no máximo 0,5 m do nível do piso acabado, a válvula deve ser do tipo gaveta ou esfera, permitindo o fluxo de água nos dois sentidos e instalada de forma a garantir seu adequado manuseio. </w:t>
      </w:r>
    </w:p>
    <w:p w:rsidR="00CA7E68" w:rsidRPr="00CA7E68" w:rsidRDefault="00CA7E68" w:rsidP="00CA7E68">
      <w:pPr>
        <w:pStyle w:val="PargrafodaLista"/>
        <w:numPr>
          <w:ilvl w:val="2"/>
          <w:numId w:val="22"/>
        </w:numPr>
        <w:ind w:left="709" w:hanging="709"/>
        <w:rPr>
          <w:rFonts w:ascii="Arial" w:hAnsi="Arial" w:cs="Arial"/>
          <w:b/>
          <w:sz w:val="24"/>
          <w:szCs w:val="24"/>
        </w:rPr>
      </w:pPr>
      <w:r w:rsidRPr="00CA7E68">
        <w:rPr>
          <w:rFonts w:ascii="Arial" w:hAnsi="Arial" w:cs="Arial"/>
          <w:b/>
          <w:sz w:val="24"/>
          <w:szCs w:val="24"/>
        </w:rPr>
        <w:t xml:space="preserve">Uniões / Engates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Uniões de engate rápido entre mangueiras de incêndio, </w:t>
      </w:r>
      <w:r w:rsidR="00FC7130" w:rsidRPr="00CA7E68">
        <w:rPr>
          <w:rFonts w:ascii="Arial" w:hAnsi="Arial" w:cs="Arial"/>
          <w:sz w:val="24"/>
          <w:szCs w:val="24"/>
        </w:rPr>
        <w:t>Ø</w:t>
      </w:r>
      <w:r w:rsidRPr="00CA7E68">
        <w:rPr>
          <w:rFonts w:ascii="Arial" w:hAnsi="Arial" w:cs="Arial"/>
          <w:sz w:val="24"/>
          <w:szCs w:val="24"/>
        </w:rPr>
        <w:t xml:space="preserve">63mm x </w:t>
      </w:r>
      <w:proofErr w:type="gramStart"/>
      <w:r w:rsidRPr="00CA7E68">
        <w:rPr>
          <w:rFonts w:ascii="Arial" w:hAnsi="Arial" w:cs="Arial"/>
          <w:sz w:val="24"/>
          <w:szCs w:val="24"/>
        </w:rPr>
        <w:t>38mm</w:t>
      </w:r>
      <w:proofErr w:type="gramEnd"/>
      <w:r w:rsidRPr="00CA7E68">
        <w:rPr>
          <w:rFonts w:ascii="Arial" w:hAnsi="Arial" w:cs="Arial"/>
          <w:sz w:val="24"/>
          <w:szCs w:val="24"/>
        </w:rPr>
        <w:t xml:space="preserve"> conforme a NBR 14349/99, dimensões e materiais para a confecção dos adaptadores tipo engate rápido devem atender a NBR 14349/99. </w:t>
      </w:r>
    </w:p>
    <w:p w:rsidR="00CA7E68" w:rsidRPr="00CA7E68" w:rsidRDefault="00CA7E68" w:rsidP="00CA7E68">
      <w:pPr>
        <w:pStyle w:val="PargrafodaLista"/>
        <w:numPr>
          <w:ilvl w:val="2"/>
          <w:numId w:val="22"/>
        </w:numPr>
        <w:ind w:left="709" w:hanging="709"/>
        <w:rPr>
          <w:rFonts w:ascii="Arial" w:hAnsi="Arial" w:cs="Arial"/>
          <w:b/>
          <w:sz w:val="24"/>
          <w:szCs w:val="24"/>
        </w:rPr>
      </w:pPr>
      <w:r w:rsidRPr="00CA7E68">
        <w:rPr>
          <w:rFonts w:ascii="Arial" w:hAnsi="Arial" w:cs="Arial"/>
          <w:b/>
          <w:sz w:val="24"/>
          <w:szCs w:val="24"/>
        </w:rPr>
        <w:t xml:space="preserve">Válvulas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Válvulas globo angulares, 45º, rosca de entrada de a</w:t>
      </w:r>
      <w:bookmarkStart w:id="8" w:name="_GoBack"/>
      <w:bookmarkEnd w:id="8"/>
      <w:r w:rsidRPr="00CA7E68">
        <w:rPr>
          <w:rFonts w:ascii="Arial" w:hAnsi="Arial" w:cs="Arial"/>
          <w:sz w:val="24"/>
          <w:szCs w:val="24"/>
        </w:rPr>
        <w:t xml:space="preserve">cordo com a NBR 6414/83 ou NBR 12912/93. As roscas de saída das válvulas para acoplamento do engate rápido devem ser conforme a NBR 5667/80 ou ANSI/ASME </w:t>
      </w:r>
      <w:proofErr w:type="gramStart"/>
      <w:r w:rsidRPr="00CA7E68">
        <w:rPr>
          <w:rFonts w:ascii="Arial" w:hAnsi="Arial" w:cs="Arial"/>
          <w:sz w:val="24"/>
          <w:szCs w:val="24"/>
        </w:rPr>
        <w:t>B1.</w:t>
      </w:r>
      <w:proofErr w:type="gramEnd"/>
      <w:r w:rsidRPr="00CA7E68">
        <w:rPr>
          <w:rFonts w:ascii="Arial" w:hAnsi="Arial" w:cs="Arial"/>
          <w:sz w:val="24"/>
          <w:szCs w:val="24"/>
        </w:rPr>
        <w:t xml:space="preserve">20.7 NH/98.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Válvulas gavetas seccionadoras indicadoras, em latão, ø65mm e ø80mm travadas na posição aberta.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Válvula de retenção tipo </w:t>
      </w:r>
      <w:proofErr w:type="spellStart"/>
      <w:r w:rsidRPr="00CA7E68">
        <w:rPr>
          <w:rFonts w:ascii="Arial" w:hAnsi="Arial" w:cs="Arial"/>
          <w:sz w:val="24"/>
          <w:szCs w:val="24"/>
        </w:rPr>
        <w:t>wafer</w:t>
      </w:r>
      <w:proofErr w:type="spellEnd"/>
      <w:r w:rsidRPr="00CA7E68">
        <w:rPr>
          <w:rFonts w:ascii="Arial" w:hAnsi="Arial" w:cs="Arial"/>
          <w:sz w:val="24"/>
          <w:szCs w:val="24"/>
        </w:rPr>
        <w:t xml:space="preserve">, em latão, </w:t>
      </w:r>
      <w:r w:rsidR="00E82FC4" w:rsidRPr="00CA7E68">
        <w:rPr>
          <w:rFonts w:ascii="Arial" w:hAnsi="Arial" w:cs="Arial"/>
          <w:sz w:val="24"/>
          <w:szCs w:val="24"/>
        </w:rPr>
        <w:t>Ø</w:t>
      </w:r>
      <w:r w:rsidRPr="00CA7E68">
        <w:rPr>
          <w:rFonts w:ascii="Arial" w:hAnsi="Arial" w:cs="Arial"/>
          <w:sz w:val="24"/>
          <w:szCs w:val="24"/>
        </w:rPr>
        <w:t xml:space="preserve">65mm. </w:t>
      </w:r>
    </w:p>
    <w:p w:rsidR="00CA7E68" w:rsidRPr="00CA7E68" w:rsidRDefault="00CA7E68" w:rsidP="00CA7E68">
      <w:pPr>
        <w:pStyle w:val="PargrafodaLista"/>
        <w:numPr>
          <w:ilvl w:val="2"/>
          <w:numId w:val="22"/>
        </w:numPr>
        <w:ind w:left="709" w:hanging="709"/>
        <w:rPr>
          <w:rFonts w:ascii="Arial" w:hAnsi="Arial" w:cs="Arial"/>
          <w:b/>
          <w:sz w:val="24"/>
          <w:szCs w:val="24"/>
        </w:rPr>
      </w:pPr>
      <w:r w:rsidRPr="00CA7E68">
        <w:rPr>
          <w:rFonts w:ascii="Arial" w:hAnsi="Arial" w:cs="Arial"/>
          <w:b/>
          <w:sz w:val="24"/>
          <w:szCs w:val="24"/>
        </w:rPr>
        <w:t xml:space="preserve">Tubulações e conexões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Tubo em aço carbono galvanizado, DIN 2440, soldadas, ø65mm, NBR 5580/93, NBR 5587/85 ou NBR 5590/95.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As conexões de ferro maleável galvanizado devem ser conforme a NBR 6925/85 ou NBR 6943/93.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As conexões de aço devem ser conforme ASMT A 234/97. </w:t>
      </w:r>
    </w:p>
    <w:p w:rsidR="00CA7E68" w:rsidRPr="00CA7E68" w:rsidRDefault="00CA7E68" w:rsidP="00CA7E68">
      <w:pPr>
        <w:pStyle w:val="PargrafodaLista"/>
        <w:numPr>
          <w:ilvl w:val="2"/>
          <w:numId w:val="22"/>
        </w:numPr>
        <w:ind w:left="709" w:hanging="709"/>
        <w:rPr>
          <w:rFonts w:ascii="Arial" w:hAnsi="Arial" w:cs="Arial"/>
          <w:b/>
          <w:sz w:val="24"/>
          <w:szCs w:val="24"/>
        </w:rPr>
      </w:pPr>
      <w:r w:rsidRPr="00CA7E68">
        <w:rPr>
          <w:rFonts w:ascii="Arial" w:hAnsi="Arial" w:cs="Arial"/>
          <w:b/>
          <w:sz w:val="24"/>
          <w:szCs w:val="24"/>
        </w:rPr>
        <w:t xml:space="preserve">Pintura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As tubulações aparentes do sistema devem ser em cor vermelha.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t xml:space="preserve">Os trechos das tubulações do sistema, que passam em dutos verticais ou horizontais e que sejam visíveis através da porta de inspeção, devem ser em cor vermelha. </w:t>
      </w:r>
    </w:p>
    <w:p w:rsidR="00CA7E68" w:rsidRPr="00CA7E68" w:rsidRDefault="00CA7E68" w:rsidP="00CA7E68">
      <w:pPr>
        <w:ind w:firstLine="708"/>
        <w:jc w:val="both"/>
        <w:rPr>
          <w:rFonts w:ascii="Arial" w:hAnsi="Arial" w:cs="Arial"/>
          <w:sz w:val="24"/>
          <w:szCs w:val="24"/>
        </w:rPr>
      </w:pPr>
      <w:r w:rsidRPr="00CA7E68">
        <w:rPr>
          <w:rFonts w:ascii="Arial" w:hAnsi="Arial" w:cs="Arial"/>
          <w:sz w:val="24"/>
          <w:szCs w:val="24"/>
        </w:rPr>
        <w:lastRenderedPageBreak/>
        <w:t xml:space="preserve">Opcionalmente a tubulação aparente do sistema pode ser pintada em outras cores, desde que identificada com anéis vermelhos com 0,20 m de largura e dispostos no máximo a 5 m um do outro. </w:t>
      </w:r>
    </w:p>
    <w:p w:rsidR="00CA7E68" w:rsidRPr="00854A16" w:rsidRDefault="00CA7E68" w:rsidP="00CA7E68">
      <w:pPr>
        <w:ind w:firstLine="708"/>
        <w:jc w:val="both"/>
        <w:rPr>
          <w:rFonts w:ascii="Arial" w:hAnsi="Arial" w:cs="Arial"/>
          <w:sz w:val="24"/>
          <w:szCs w:val="24"/>
        </w:rPr>
      </w:pPr>
      <w:r w:rsidRPr="00CA7E68">
        <w:rPr>
          <w:rFonts w:ascii="Arial" w:hAnsi="Arial" w:cs="Arial"/>
          <w:sz w:val="24"/>
          <w:szCs w:val="24"/>
        </w:rPr>
        <w:t>Os acessórios hidráulicos (válvulas de retenção, válvulas gavetas) devem receber pintura na cor amarela. A tampa de abrigo do registro de recalque deve ser pintada na cor vermelha.</w:t>
      </w:r>
    </w:p>
    <w:sectPr w:rsidR="00CA7E68" w:rsidRPr="00854A16" w:rsidSect="00FC74C2">
      <w:headerReference w:type="default" r:id="rId9"/>
      <w:footerReference w:type="default" r:id="rId10"/>
      <w:pgSz w:w="11906" w:h="16838"/>
      <w:pgMar w:top="1417" w:right="1416" w:bottom="1417" w:left="1701"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E65" w:rsidRDefault="00616E65" w:rsidP="00676D64">
      <w:pPr>
        <w:spacing w:after="0" w:line="240" w:lineRule="auto"/>
      </w:pPr>
      <w:r>
        <w:separator/>
      </w:r>
    </w:p>
  </w:endnote>
  <w:endnote w:type="continuationSeparator" w:id="0">
    <w:p w:rsidR="00616E65" w:rsidRDefault="00616E65" w:rsidP="0067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034683"/>
      <w:docPartObj>
        <w:docPartGallery w:val="Page Numbers (Bottom of Page)"/>
        <w:docPartUnique/>
      </w:docPartObj>
    </w:sdtPr>
    <w:sdtEndPr/>
    <w:sdtContent>
      <w:p w:rsidR="00DD1793" w:rsidRDefault="00DD1793">
        <w:pPr>
          <w:pStyle w:val="Rodap"/>
          <w:jc w:val="right"/>
        </w:pPr>
        <w:r>
          <w:fldChar w:fldCharType="begin"/>
        </w:r>
        <w:r>
          <w:instrText>PAGE   \* MERGEFORMAT</w:instrText>
        </w:r>
        <w:r>
          <w:fldChar w:fldCharType="separate"/>
        </w:r>
        <w:r w:rsidR="00FC7130">
          <w:rPr>
            <w:noProof/>
          </w:rPr>
          <w:t>5</w:t>
        </w:r>
        <w:r>
          <w:fldChar w:fldCharType="end"/>
        </w:r>
      </w:p>
    </w:sdtContent>
  </w:sdt>
  <w:p w:rsidR="00DD1793" w:rsidRPr="001F3E8A" w:rsidRDefault="00DD1793" w:rsidP="001F3E8A">
    <w:pPr>
      <w:pStyle w:val="Normal1"/>
      <w:widowControl w:val="0"/>
      <w:pBdr>
        <w:top w:val="nil"/>
        <w:left w:val="nil"/>
        <w:bottom w:val="nil"/>
        <w:right w:val="nil"/>
        <w:between w:val="nil"/>
      </w:pBdr>
      <w:spacing w:before="19" w:line="240" w:lineRule="auto"/>
      <w:jc w:val="center"/>
      <w:rPr>
        <w:rFonts w:ascii="Verdana" w:eastAsia="Verdana" w:hAnsi="Verdana" w:cs="Verdana"/>
        <w:i/>
        <w:color w:val="000000"/>
        <w:sz w:val="24"/>
        <w:szCs w:val="24"/>
      </w:rPr>
    </w:pPr>
    <w:r>
      <w:rPr>
        <w:rFonts w:ascii="Verdana" w:eastAsia="Verdana" w:hAnsi="Verdana" w:cs="Verdana"/>
        <w:color w:val="595959"/>
        <w:sz w:val="20"/>
        <w:szCs w:val="20"/>
      </w:rPr>
      <w:t>Secretaria de Projetos Especiais, Convênios e Habitação</w:t>
    </w:r>
    <w:r>
      <w:rPr>
        <w:rFonts w:ascii="Verdana" w:eastAsia="Verdana" w:hAnsi="Verdana" w:cs="Verdana"/>
        <w:i/>
        <w:color w:val="000000"/>
        <w:sz w:val="24"/>
        <w:szCs w:val="24"/>
      </w:rPr>
      <w:t xml:space="preserve"> </w:t>
    </w:r>
    <w:r>
      <w:rPr>
        <w:rFonts w:ascii="Verdana" w:eastAsia="Verdana" w:hAnsi="Verdana" w:cs="Verdana"/>
        <w:color w:val="595959"/>
        <w:sz w:val="16"/>
        <w:szCs w:val="16"/>
      </w:rPr>
      <w:t>(11) 4164-5334</w:t>
    </w:r>
    <w:proofErr w:type="gramStart"/>
    <w:r>
      <w:rPr>
        <w:rFonts w:ascii="Verdana" w:eastAsia="Verdana" w:hAnsi="Verdana" w:cs="Verdana"/>
        <w:color w:val="595959"/>
        <w:sz w:val="16"/>
        <w:szCs w:val="16"/>
      </w:rPr>
      <w:tab/>
    </w:r>
    <w:proofErr w:type="gramEnd"/>
  </w:p>
  <w:p w:rsidR="00DD1793" w:rsidRDefault="00DD1793" w:rsidP="001F3E8A">
    <w:pPr>
      <w:pStyle w:val="Normal1"/>
      <w:widowControl w:val="0"/>
      <w:pBdr>
        <w:top w:val="nil"/>
        <w:left w:val="nil"/>
        <w:bottom w:val="nil"/>
        <w:right w:val="nil"/>
        <w:between w:val="nil"/>
      </w:pBdr>
      <w:spacing w:before="8" w:line="240" w:lineRule="auto"/>
      <w:jc w:val="center"/>
      <w:rPr>
        <w:rFonts w:ascii="Verdana" w:eastAsia="Verdana" w:hAnsi="Verdana" w:cs="Verdana"/>
        <w:color w:val="595959"/>
        <w:sz w:val="16"/>
        <w:szCs w:val="16"/>
      </w:rPr>
    </w:pPr>
    <w:proofErr w:type="gramStart"/>
    <w:r>
      <w:rPr>
        <w:rFonts w:ascii="Verdana" w:eastAsia="Verdana" w:hAnsi="Verdana" w:cs="Verdana"/>
        <w:color w:val="595959"/>
        <w:sz w:val="16"/>
        <w:szCs w:val="16"/>
      </w:rPr>
      <w:t>R.</w:t>
    </w:r>
    <w:proofErr w:type="gramEnd"/>
    <w:r>
      <w:rPr>
        <w:rFonts w:ascii="Verdana" w:eastAsia="Verdana" w:hAnsi="Verdana" w:cs="Verdana"/>
        <w:color w:val="595959"/>
        <w:sz w:val="16"/>
        <w:szCs w:val="16"/>
      </w:rPr>
      <w:t xml:space="preserve"> Joaquim das Neves, 211 - Vila Caldas, Carapicuíba – SP | CEP: 06310-030, Brasil</w:t>
    </w:r>
  </w:p>
  <w:p w:rsidR="00DD1793" w:rsidRDefault="00DD179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E65" w:rsidRDefault="00616E65" w:rsidP="00676D64">
      <w:pPr>
        <w:spacing w:after="0" w:line="240" w:lineRule="auto"/>
      </w:pPr>
      <w:r>
        <w:separator/>
      </w:r>
    </w:p>
  </w:footnote>
  <w:footnote w:type="continuationSeparator" w:id="0">
    <w:p w:rsidR="00616E65" w:rsidRDefault="00616E65" w:rsidP="00676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5577"/>
      <w:docPartObj>
        <w:docPartGallery w:val="Page Numbers (Top of Page)"/>
        <w:docPartUnique/>
      </w:docPartObj>
    </w:sdtPr>
    <w:sdtEndPr/>
    <w:sdtContent>
      <w:p w:rsidR="00DD1793" w:rsidRPr="004D5869" w:rsidRDefault="00DD1793" w:rsidP="00676D64">
        <w:pPr>
          <w:spacing w:after="0"/>
          <w:ind w:right="2834"/>
          <w:rPr>
            <w:rFonts w:ascii="Verdana" w:hAnsi="Verdana"/>
            <w:b/>
            <w:sz w:val="36"/>
            <w:szCs w:val="36"/>
          </w:rPr>
        </w:pPr>
        <w:r w:rsidRPr="004D5869">
          <w:rPr>
            <w:rFonts w:ascii="Verdana" w:hAnsi="Verdana"/>
            <w:b/>
            <w:noProof/>
            <w:sz w:val="36"/>
            <w:szCs w:val="36"/>
            <w:lang w:eastAsia="pt-BR"/>
          </w:rPr>
          <w:drawing>
            <wp:anchor distT="0" distB="0" distL="114300" distR="114300" simplePos="0" relativeHeight="251659264" behindDoc="0" locked="0" layoutInCell="1" allowOverlap="1" wp14:anchorId="3316453D" wp14:editId="786B1584">
              <wp:simplePos x="0" y="0"/>
              <wp:positionH relativeFrom="column">
                <wp:posOffset>3568065</wp:posOffset>
              </wp:positionH>
              <wp:positionV relativeFrom="paragraph">
                <wp:posOffset>-59055</wp:posOffset>
              </wp:positionV>
              <wp:extent cx="1933575" cy="723900"/>
              <wp:effectExtent l="0" t="0" r="0" b="0"/>
              <wp:wrapNone/>
              <wp:docPr id="1" name="Imagem 2" descr="prefeitura_pira_g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feitura_pira_ge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1138" b="17073"/>
                      <a:stretch/>
                    </pic:blipFill>
                    <pic:spPr bwMode="auto">
                      <a:xfrm>
                        <a:off x="0" y="0"/>
                        <a:ext cx="1933575" cy="723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4D5869">
          <w:rPr>
            <w:rFonts w:ascii="Verdana" w:hAnsi="Verdana"/>
            <w:b/>
            <w:sz w:val="36"/>
            <w:szCs w:val="36"/>
          </w:rPr>
          <w:t>Prefeitura de Carapicuíba</w:t>
        </w:r>
      </w:p>
      <w:p w:rsidR="00DD1793" w:rsidRDefault="00DD1793" w:rsidP="00676D64">
        <w:pPr>
          <w:spacing w:after="0"/>
          <w:ind w:right="3401"/>
          <w:jc w:val="center"/>
          <w:rPr>
            <w:rFonts w:ascii="Verdana" w:hAnsi="Verdana"/>
            <w:noProof/>
            <w:sz w:val="20"/>
            <w:szCs w:val="20"/>
          </w:rPr>
        </w:pPr>
        <w:r w:rsidRPr="005536A4">
          <w:rPr>
            <w:rFonts w:ascii="Verdana" w:hAnsi="Verdana"/>
            <w:b/>
            <w:sz w:val="20"/>
            <w:szCs w:val="20"/>
          </w:rPr>
          <w:t>Secretaria de Projetos especiais,</w:t>
        </w:r>
      </w:p>
      <w:p w:rsidR="00DD1793" w:rsidRDefault="00DD1793" w:rsidP="00676D64">
        <w:pPr>
          <w:spacing w:after="0"/>
          <w:ind w:right="3401"/>
          <w:jc w:val="center"/>
          <w:rPr>
            <w:rFonts w:ascii="Verdana" w:hAnsi="Verdana"/>
            <w:b/>
            <w:sz w:val="20"/>
            <w:szCs w:val="20"/>
          </w:rPr>
        </w:pPr>
        <w:r w:rsidRPr="005536A4">
          <w:rPr>
            <w:rFonts w:ascii="Verdana" w:hAnsi="Verdana"/>
            <w:b/>
            <w:sz w:val="20"/>
            <w:szCs w:val="20"/>
          </w:rPr>
          <w:t>Convênios e Habitação</w:t>
        </w:r>
      </w:p>
      <w:p w:rsidR="00DD1793" w:rsidRDefault="00616E65" w:rsidP="00676D64">
        <w:pPr>
          <w:spacing w:after="0"/>
          <w:ind w:right="3401"/>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E4100"/>
    <w:multiLevelType w:val="hybridMultilevel"/>
    <w:tmpl w:val="A23670AC"/>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26E4404"/>
    <w:multiLevelType w:val="hybridMultilevel"/>
    <w:tmpl w:val="37507E20"/>
    <w:lvl w:ilvl="0" w:tplc="16DC6D7A">
      <w:start w:val="1"/>
      <w:numFmt w:val="bullet"/>
      <w:lvlText w:val=""/>
      <w:lvlJc w:val="left"/>
      <w:pPr>
        <w:ind w:left="1375" w:hanging="360"/>
      </w:pPr>
      <w:rPr>
        <w:rFonts w:ascii="Symbol" w:hAnsi="Symbol" w:hint="default"/>
      </w:rPr>
    </w:lvl>
    <w:lvl w:ilvl="1" w:tplc="04160003" w:tentative="1">
      <w:start w:val="1"/>
      <w:numFmt w:val="bullet"/>
      <w:lvlText w:val="o"/>
      <w:lvlJc w:val="left"/>
      <w:pPr>
        <w:ind w:left="2095" w:hanging="360"/>
      </w:pPr>
      <w:rPr>
        <w:rFonts w:ascii="Courier New" w:hAnsi="Courier New" w:cs="Courier New" w:hint="default"/>
      </w:rPr>
    </w:lvl>
    <w:lvl w:ilvl="2" w:tplc="04160005" w:tentative="1">
      <w:start w:val="1"/>
      <w:numFmt w:val="bullet"/>
      <w:lvlText w:val=""/>
      <w:lvlJc w:val="left"/>
      <w:pPr>
        <w:ind w:left="2815" w:hanging="360"/>
      </w:pPr>
      <w:rPr>
        <w:rFonts w:ascii="Wingdings" w:hAnsi="Wingdings" w:hint="default"/>
      </w:rPr>
    </w:lvl>
    <w:lvl w:ilvl="3" w:tplc="04160001" w:tentative="1">
      <w:start w:val="1"/>
      <w:numFmt w:val="bullet"/>
      <w:lvlText w:val=""/>
      <w:lvlJc w:val="left"/>
      <w:pPr>
        <w:ind w:left="3535" w:hanging="360"/>
      </w:pPr>
      <w:rPr>
        <w:rFonts w:ascii="Symbol" w:hAnsi="Symbol" w:hint="default"/>
      </w:rPr>
    </w:lvl>
    <w:lvl w:ilvl="4" w:tplc="04160003" w:tentative="1">
      <w:start w:val="1"/>
      <w:numFmt w:val="bullet"/>
      <w:lvlText w:val="o"/>
      <w:lvlJc w:val="left"/>
      <w:pPr>
        <w:ind w:left="4255" w:hanging="360"/>
      </w:pPr>
      <w:rPr>
        <w:rFonts w:ascii="Courier New" w:hAnsi="Courier New" w:cs="Courier New" w:hint="default"/>
      </w:rPr>
    </w:lvl>
    <w:lvl w:ilvl="5" w:tplc="04160005" w:tentative="1">
      <w:start w:val="1"/>
      <w:numFmt w:val="bullet"/>
      <w:lvlText w:val=""/>
      <w:lvlJc w:val="left"/>
      <w:pPr>
        <w:ind w:left="4975" w:hanging="360"/>
      </w:pPr>
      <w:rPr>
        <w:rFonts w:ascii="Wingdings" w:hAnsi="Wingdings" w:hint="default"/>
      </w:rPr>
    </w:lvl>
    <w:lvl w:ilvl="6" w:tplc="04160001" w:tentative="1">
      <w:start w:val="1"/>
      <w:numFmt w:val="bullet"/>
      <w:lvlText w:val=""/>
      <w:lvlJc w:val="left"/>
      <w:pPr>
        <w:ind w:left="5695" w:hanging="360"/>
      </w:pPr>
      <w:rPr>
        <w:rFonts w:ascii="Symbol" w:hAnsi="Symbol" w:hint="default"/>
      </w:rPr>
    </w:lvl>
    <w:lvl w:ilvl="7" w:tplc="04160003" w:tentative="1">
      <w:start w:val="1"/>
      <w:numFmt w:val="bullet"/>
      <w:lvlText w:val="o"/>
      <w:lvlJc w:val="left"/>
      <w:pPr>
        <w:ind w:left="6415" w:hanging="360"/>
      </w:pPr>
      <w:rPr>
        <w:rFonts w:ascii="Courier New" w:hAnsi="Courier New" w:cs="Courier New" w:hint="default"/>
      </w:rPr>
    </w:lvl>
    <w:lvl w:ilvl="8" w:tplc="04160005" w:tentative="1">
      <w:start w:val="1"/>
      <w:numFmt w:val="bullet"/>
      <w:lvlText w:val=""/>
      <w:lvlJc w:val="left"/>
      <w:pPr>
        <w:ind w:left="7135" w:hanging="360"/>
      </w:pPr>
      <w:rPr>
        <w:rFonts w:ascii="Wingdings" w:hAnsi="Wingdings" w:hint="default"/>
      </w:rPr>
    </w:lvl>
  </w:abstractNum>
  <w:abstractNum w:abstractNumId="2">
    <w:nsid w:val="12CE2B4F"/>
    <w:multiLevelType w:val="hybridMultilevel"/>
    <w:tmpl w:val="5F84DEE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nsid w:val="1A3F2426"/>
    <w:multiLevelType w:val="hybridMultilevel"/>
    <w:tmpl w:val="D87E1920"/>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54209C4"/>
    <w:multiLevelType w:val="hybridMultilevel"/>
    <w:tmpl w:val="A3FA5224"/>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9500A4F"/>
    <w:multiLevelType w:val="hybridMultilevel"/>
    <w:tmpl w:val="58B0E1F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nsid w:val="2B72021A"/>
    <w:multiLevelType w:val="hybridMultilevel"/>
    <w:tmpl w:val="A82AEC00"/>
    <w:lvl w:ilvl="0" w:tplc="16DC6D7A">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7">
    <w:nsid w:val="30892C97"/>
    <w:multiLevelType w:val="multilevel"/>
    <w:tmpl w:val="BD6A4604"/>
    <w:lvl w:ilvl="0">
      <w:start w:val="1"/>
      <w:numFmt w:val="decimal"/>
      <w:lvlText w:val="%1."/>
      <w:lvlJc w:val="left"/>
      <w:pPr>
        <w:ind w:left="465" w:hanging="46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341F5773"/>
    <w:multiLevelType w:val="hybridMultilevel"/>
    <w:tmpl w:val="47C6F84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3B711EA7"/>
    <w:multiLevelType w:val="hybridMultilevel"/>
    <w:tmpl w:val="B5983D5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62F47A2"/>
    <w:multiLevelType w:val="hybridMultilevel"/>
    <w:tmpl w:val="23FE397A"/>
    <w:lvl w:ilvl="0" w:tplc="A9082E0E">
      <w:start w:val="1"/>
      <w:numFmt w:val="decimal"/>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4709572E"/>
    <w:multiLevelType w:val="multilevel"/>
    <w:tmpl w:val="A0E61F96"/>
    <w:lvl w:ilvl="0">
      <w:start w:val="1"/>
      <w:numFmt w:val="decimal"/>
      <w:lvlText w:val="%1."/>
      <w:lvlJc w:val="left"/>
      <w:pPr>
        <w:ind w:left="465" w:hanging="46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47A967A1"/>
    <w:multiLevelType w:val="hybridMultilevel"/>
    <w:tmpl w:val="7D628BF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499E7128"/>
    <w:multiLevelType w:val="hybridMultilevel"/>
    <w:tmpl w:val="839EE238"/>
    <w:lvl w:ilvl="0" w:tplc="021645C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4C3D0BA2"/>
    <w:multiLevelType w:val="hybridMultilevel"/>
    <w:tmpl w:val="E93AD23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nsid w:val="4DE756F1"/>
    <w:multiLevelType w:val="hybridMultilevel"/>
    <w:tmpl w:val="620CEE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2B40A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C207B16"/>
    <w:multiLevelType w:val="multilevel"/>
    <w:tmpl w:val="E74CF90E"/>
    <w:lvl w:ilvl="0">
      <w:start w:val="1"/>
      <w:numFmt w:val="upperRoman"/>
      <w:lvlText w:val="%1."/>
      <w:lvlJc w:val="left"/>
      <w:pPr>
        <w:ind w:left="1698" w:hanging="338"/>
        <w:jc w:val="right"/>
      </w:pPr>
      <w:rPr>
        <w:rFonts w:hint="default"/>
        <w:spacing w:val="-1"/>
        <w:w w:val="98"/>
        <w:lang w:val="pt-PT" w:eastAsia="en-US" w:bidi="ar-SA"/>
      </w:rPr>
    </w:lvl>
    <w:lvl w:ilvl="1">
      <w:start w:val="1"/>
      <w:numFmt w:val="decimal"/>
      <w:lvlText w:val="%2."/>
      <w:lvlJc w:val="left"/>
      <w:pPr>
        <w:ind w:left="1770" w:hanging="418"/>
        <w:jc w:val="right"/>
      </w:pPr>
      <w:rPr>
        <w:rFonts w:hint="default"/>
        <w:spacing w:val="-1"/>
        <w:w w:val="99"/>
        <w:lang w:val="pt-PT" w:eastAsia="en-US" w:bidi="ar-SA"/>
      </w:rPr>
    </w:lvl>
    <w:lvl w:ilvl="2">
      <w:start w:val="1"/>
      <w:numFmt w:val="decimal"/>
      <w:lvlText w:val="%2.%3."/>
      <w:lvlJc w:val="left"/>
      <w:pPr>
        <w:ind w:left="2198" w:hanging="690"/>
        <w:jc w:val="right"/>
      </w:pPr>
      <w:rPr>
        <w:rFonts w:hint="default"/>
        <w:b/>
        <w:spacing w:val="-1"/>
        <w:w w:val="94"/>
        <w:lang w:val="pt-PT" w:eastAsia="en-US" w:bidi="ar-SA"/>
      </w:rPr>
    </w:lvl>
    <w:lvl w:ilvl="3">
      <w:start w:val="1"/>
      <w:numFmt w:val="decimal"/>
      <w:lvlText w:val="%2.%3.%4."/>
      <w:lvlJc w:val="left"/>
      <w:pPr>
        <w:ind w:left="2903" w:hanging="690"/>
      </w:pPr>
      <w:rPr>
        <w:rFonts w:hint="default"/>
        <w:spacing w:val="-1"/>
        <w:w w:val="97"/>
        <w:lang w:val="pt-PT" w:eastAsia="en-US" w:bidi="ar-SA"/>
      </w:rPr>
    </w:lvl>
    <w:lvl w:ilvl="4">
      <w:start w:val="1"/>
      <w:numFmt w:val="decimal"/>
      <w:lvlText w:val="%2.%3.%4.%5."/>
      <w:lvlJc w:val="left"/>
      <w:pPr>
        <w:ind w:left="2466" w:hanging="690"/>
      </w:pPr>
      <w:rPr>
        <w:rFonts w:hint="default"/>
        <w:spacing w:val="-1"/>
        <w:w w:val="96"/>
        <w:lang w:val="pt-PT" w:eastAsia="en-US" w:bidi="ar-SA"/>
      </w:rPr>
    </w:lvl>
    <w:lvl w:ilvl="5">
      <w:numFmt w:val="bullet"/>
      <w:lvlText w:val="•"/>
      <w:lvlJc w:val="left"/>
      <w:pPr>
        <w:ind w:left="2040" w:hanging="690"/>
      </w:pPr>
      <w:rPr>
        <w:rFonts w:hint="default"/>
        <w:lang w:val="pt-PT" w:eastAsia="en-US" w:bidi="ar-SA"/>
      </w:rPr>
    </w:lvl>
    <w:lvl w:ilvl="6">
      <w:numFmt w:val="bullet"/>
      <w:lvlText w:val="•"/>
      <w:lvlJc w:val="left"/>
      <w:pPr>
        <w:ind w:left="2060" w:hanging="690"/>
      </w:pPr>
      <w:rPr>
        <w:rFonts w:hint="default"/>
        <w:lang w:val="pt-PT" w:eastAsia="en-US" w:bidi="ar-SA"/>
      </w:rPr>
    </w:lvl>
    <w:lvl w:ilvl="7">
      <w:numFmt w:val="bullet"/>
      <w:lvlText w:val="•"/>
      <w:lvlJc w:val="left"/>
      <w:pPr>
        <w:ind w:left="2080" w:hanging="690"/>
      </w:pPr>
      <w:rPr>
        <w:rFonts w:hint="default"/>
        <w:lang w:val="pt-PT" w:eastAsia="en-US" w:bidi="ar-SA"/>
      </w:rPr>
    </w:lvl>
    <w:lvl w:ilvl="8">
      <w:numFmt w:val="bullet"/>
      <w:lvlText w:val="•"/>
      <w:lvlJc w:val="left"/>
      <w:pPr>
        <w:ind w:left="2100" w:hanging="690"/>
      </w:pPr>
      <w:rPr>
        <w:rFonts w:hint="default"/>
        <w:lang w:val="pt-PT" w:eastAsia="en-US" w:bidi="ar-SA"/>
      </w:rPr>
    </w:lvl>
  </w:abstractNum>
  <w:abstractNum w:abstractNumId="18">
    <w:nsid w:val="5EE530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4DA4C64"/>
    <w:multiLevelType w:val="hybridMultilevel"/>
    <w:tmpl w:val="738E7E0C"/>
    <w:lvl w:ilvl="0" w:tplc="140C7A5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6BCF44A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1EC4D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B340DE"/>
    <w:multiLevelType w:val="hybridMultilevel"/>
    <w:tmpl w:val="C0AE68FA"/>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3">
    <w:nsid w:val="7F244E4D"/>
    <w:multiLevelType w:val="hybridMultilevel"/>
    <w:tmpl w:val="5F84A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8"/>
  </w:num>
  <w:num w:numId="4">
    <w:abstractNumId w:val="16"/>
  </w:num>
  <w:num w:numId="5">
    <w:abstractNumId w:val="21"/>
  </w:num>
  <w:num w:numId="6">
    <w:abstractNumId w:val="5"/>
  </w:num>
  <w:num w:numId="7">
    <w:abstractNumId w:val="14"/>
  </w:num>
  <w:num w:numId="8">
    <w:abstractNumId w:val="9"/>
  </w:num>
  <w:num w:numId="9">
    <w:abstractNumId w:val="7"/>
  </w:num>
  <w:num w:numId="10">
    <w:abstractNumId w:val="11"/>
  </w:num>
  <w:num w:numId="11">
    <w:abstractNumId w:val="8"/>
  </w:num>
  <w:num w:numId="12">
    <w:abstractNumId w:val="2"/>
  </w:num>
  <w:num w:numId="13">
    <w:abstractNumId w:val="19"/>
  </w:num>
  <w:num w:numId="14">
    <w:abstractNumId w:val="13"/>
  </w:num>
  <w:num w:numId="15">
    <w:abstractNumId w:val="22"/>
  </w:num>
  <w:num w:numId="16">
    <w:abstractNumId w:val="12"/>
  </w:num>
  <w:num w:numId="17">
    <w:abstractNumId w:val="6"/>
  </w:num>
  <w:num w:numId="18">
    <w:abstractNumId w:val="1"/>
  </w:num>
  <w:num w:numId="19">
    <w:abstractNumId w:val="0"/>
  </w:num>
  <w:num w:numId="20">
    <w:abstractNumId w:val="3"/>
  </w:num>
  <w:num w:numId="21">
    <w:abstractNumId w:val="15"/>
  </w:num>
  <w:num w:numId="22">
    <w:abstractNumId w:val="20"/>
  </w:num>
  <w:num w:numId="23">
    <w:abstractNumId w:val="23"/>
  </w:num>
  <w:num w:numId="2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D64"/>
    <w:rsid w:val="00013B55"/>
    <w:rsid w:val="000D692B"/>
    <w:rsid w:val="000F7117"/>
    <w:rsid w:val="0011159D"/>
    <w:rsid w:val="0012233C"/>
    <w:rsid w:val="00131A83"/>
    <w:rsid w:val="00140044"/>
    <w:rsid w:val="00140D86"/>
    <w:rsid w:val="0018100B"/>
    <w:rsid w:val="00184D80"/>
    <w:rsid w:val="001B6473"/>
    <w:rsid w:val="001C5F20"/>
    <w:rsid w:val="001F3E8A"/>
    <w:rsid w:val="002071E9"/>
    <w:rsid w:val="002135FB"/>
    <w:rsid w:val="00234FC3"/>
    <w:rsid w:val="00241379"/>
    <w:rsid w:val="0025378E"/>
    <w:rsid w:val="00253B57"/>
    <w:rsid w:val="00270089"/>
    <w:rsid w:val="00277EDC"/>
    <w:rsid w:val="002B21AC"/>
    <w:rsid w:val="002B6976"/>
    <w:rsid w:val="002C3B67"/>
    <w:rsid w:val="0030108F"/>
    <w:rsid w:val="0030384B"/>
    <w:rsid w:val="00312150"/>
    <w:rsid w:val="00321DAF"/>
    <w:rsid w:val="00332C95"/>
    <w:rsid w:val="00356591"/>
    <w:rsid w:val="003B68BF"/>
    <w:rsid w:val="003F1788"/>
    <w:rsid w:val="00420800"/>
    <w:rsid w:val="00442C34"/>
    <w:rsid w:val="00450DCA"/>
    <w:rsid w:val="00460A79"/>
    <w:rsid w:val="004755B7"/>
    <w:rsid w:val="00485DC7"/>
    <w:rsid w:val="004924E4"/>
    <w:rsid w:val="004A4A89"/>
    <w:rsid w:val="004A55A3"/>
    <w:rsid w:val="004C2F9B"/>
    <w:rsid w:val="004D2BF3"/>
    <w:rsid w:val="004D4C0C"/>
    <w:rsid w:val="004E760D"/>
    <w:rsid w:val="00536F5C"/>
    <w:rsid w:val="00591261"/>
    <w:rsid w:val="005C60C4"/>
    <w:rsid w:val="00616E65"/>
    <w:rsid w:val="00632A63"/>
    <w:rsid w:val="00652BCE"/>
    <w:rsid w:val="00676D64"/>
    <w:rsid w:val="0068640B"/>
    <w:rsid w:val="006C1F47"/>
    <w:rsid w:val="006C4DDD"/>
    <w:rsid w:val="006C5AAD"/>
    <w:rsid w:val="006D1DE7"/>
    <w:rsid w:val="006D4FE1"/>
    <w:rsid w:val="006E37A1"/>
    <w:rsid w:val="006E4708"/>
    <w:rsid w:val="00720BB9"/>
    <w:rsid w:val="00760AE4"/>
    <w:rsid w:val="0077010B"/>
    <w:rsid w:val="007A161E"/>
    <w:rsid w:val="007C2B41"/>
    <w:rsid w:val="007E5CC1"/>
    <w:rsid w:val="00801806"/>
    <w:rsid w:val="00804EFD"/>
    <w:rsid w:val="00810DA2"/>
    <w:rsid w:val="00833F98"/>
    <w:rsid w:val="00846C46"/>
    <w:rsid w:val="00850688"/>
    <w:rsid w:val="0085187A"/>
    <w:rsid w:val="00854A16"/>
    <w:rsid w:val="008747F5"/>
    <w:rsid w:val="0088248B"/>
    <w:rsid w:val="008879BB"/>
    <w:rsid w:val="008F0ADE"/>
    <w:rsid w:val="00901A1A"/>
    <w:rsid w:val="009025B3"/>
    <w:rsid w:val="009179B2"/>
    <w:rsid w:val="009219C9"/>
    <w:rsid w:val="009764AE"/>
    <w:rsid w:val="009C387D"/>
    <w:rsid w:val="009C7C19"/>
    <w:rsid w:val="009E49B2"/>
    <w:rsid w:val="00A02648"/>
    <w:rsid w:val="00A20604"/>
    <w:rsid w:val="00A30BBD"/>
    <w:rsid w:val="00A407DC"/>
    <w:rsid w:val="00A60171"/>
    <w:rsid w:val="00A93A70"/>
    <w:rsid w:val="00AA439D"/>
    <w:rsid w:val="00AB2562"/>
    <w:rsid w:val="00AB7CDF"/>
    <w:rsid w:val="00AC3ABB"/>
    <w:rsid w:val="00AD7B94"/>
    <w:rsid w:val="00AE6035"/>
    <w:rsid w:val="00AF535E"/>
    <w:rsid w:val="00AF7639"/>
    <w:rsid w:val="00B04864"/>
    <w:rsid w:val="00B13A12"/>
    <w:rsid w:val="00B22BAA"/>
    <w:rsid w:val="00B31236"/>
    <w:rsid w:val="00B3246D"/>
    <w:rsid w:val="00B47911"/>
    <w:rsid w:val="00B55F7D"/>
    <w:rsid w:val="00B63DEA"/>
    <w:rsid w:val="00B808EA"/>
    <w:rsid w:val="00B877D7"/>
    <w:rsid w:val="00B87D85"/>
    <w:rsid w:val="00BB5B33"/>
    <w:rsid w:val="00BD6525"/>
    <w:rsid w:val="00BD7691"/>
    <w:rsid w:val="00C1062D"/>
    <w:rsid w:val="00C14DA5"/>
    <w:rsid w:val="00C41CDA"/>
    <w:rsid w:val="00C53D8D"/>
    <w:rsid w:val="00CA7E68"/>
    <w:rsid w:val="00CB0B12"/>
    <w:rsid w:val="00D16948"/>
    <w:rsid w:val="00D17420"/>
    <w:rsid w:val="00D17D3D"/>
    <w:rsid w:val="00D25CCC"/>
    <w:rsid w:val="00D40820"/>
    <w:rsid w:val="00D50B43"/>
    <w:rsid w:val="00D54925"/>
    <w:rsid w:val="00D63681"/>
    <w:rsid w:val="00D75B87"/>
    <w:rsid w:val="00DC47AE"/>
    <w:rsid w:val="00DD1793"/>
    <w:rsid w:val="00DF55D8"/>
    <w:rsid w:val="00E04160"/>
    <w:rsid w:val="00E31E0C"/>
    <w:rsid w:val="00E46565"/>
    <w:rsid w:val="00E535F8"/>
    <w:rsid w:val="00E81115"/>
    <w:rsid w:val="00E82FC4"/>
    <w:rsid w:val="00EA25B8"/>
    <w:rsid w:val="00EC79C7"/>
    <w:rsid w:val="00ED2A83"/>
    <w:rsid w:val="00EE6DB5"/>
    <w:rsid w:val="00F13FCF"/>
    <w:rsid w:val="00F1584A"/>
    <w:rsid w:val="00F369FE"/>
    <w:rsid w:val="00F5796C"/>
    <w:rsid w:val="00F75BBA"/>
    <w:rsid w:val="00F76A5E"/>
    <w:rsid w:val="00F95B33"/>
    <w:rsid w:val="00FA4BA6"/>
    <w:rsid w:val="00FC7130"/>
    <w:rsid w:val="00FC74C2"/>
    <w:rsid w:val="00FD7D69"/>
    <w:rsid w:val="00FE042B"/>
    <w:rsid w:val="00FE24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69"/>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4C2F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semiHidden/>
    <w:rsid w:val="004C2F9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69"/>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4C2F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semiHidden/>
    <w:rsid w:val="004C2F9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57E33-F966-45D2-A3F4-5B6C5734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6</Pages>
  <Words>1032</Words>
  <Characters>5575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Abner José Romão Farias</dc:creator>
  <cp:lastModifiedBy>Abner José Romão Farias</cp:lastModifiedBy>
  <cp:revision>67</cp:revision>
  <cp:lastPrinted>2022-10-05T19:15:00Z</cp:lastPrinted>
  <dcterms:created xsi:type="dcterms:W3CDTF">2022-09-28T11:18:00Z</dcterms:created>
  <dcterms:modified xsi:type="dcterms:W3CDTF">2022-10-26T17:47:00Z</dcterms:modified>
</cp:coreProperties>
</file>